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EF1A" w14:textId="2E132FC7" w:rsidR="002009CD" w:rsidRPr="00AF38A8" w:rsidRDefault="002009CD" w:rsidP="00BD1359">
      <w:pPr>
        <w:spacing w:line="276" w:lineRule="auto"/>
        <w:jc w:val="right"/>
        <w:rPr>
          <w:rFonts w:asciiTheme="minorHAnsi" w:hAnsiTheme="minorHAnsi" w:cstheme="minorHAnsi"/>
          <w:sz w:val="24"/>
          <w:szCs w:val="24"/>
        </w:rPr>
      </w:pPr>
      <w:r w:rsidRPr="00AF38A8">
        <w:rPr>
          <w:rFonts w:asciiTheme="minorHAnsi" w:hAnsiTheme="minorHAnsi" w:cstheme="minorHAnsi"/>
          <w:sz w:val="24"/>
          <w:szCs w:val="24"/>
        </w:rPr>
        <w:t>Spett.le………………..</w:t>
      </w:r>
    </w:p>
    <w:p w14:paraId="2EEF9FC6" w14:textId="77777777" w:rsidR="002009CD" w:rsidRPr="00AF38A8" w:rsidRDefault="002009CD" w:rsidP="00BD1359">
      <w:pPr>
        <w:spacing w:line="276" w:lineRule="auto"/>
        <w:jc w:val="center"/>
        <w:rPr>
          <w:rFonts w:asciiTheme="minorHAnsi" w:hAnsiTheme="minorHAnsi" w:cstheme="minorHAnsi"/>
          <w:b/>
          <w:bCs/>
          <w:sz w:val="24"/>
          <w:szCs w:val="24"/>
        </w:rPr>
      </w:pPr>
    </w:p>
    <w:p w14:paraId="3AF78386" w14:textId="36DA6D27" w:rsidR="005577D2" w:rsidRPr="00AF38A8" w:rsidRDefault="005577D2" w:rsidP="00BD1359">
      <w:pPr>
        <w:spacing w:line="276" w:lineRule="auto"/>
        <w:jc w:val="center"/>
        <w:rPr>
          <w:rFonts w:asciiTheme="minorHAnsi" w:hAnsiTheme="minorHAnsi" w:cstheme="minorHAnsi"/>
          <w:b/>
          <w:bCs/>
          <w:sz w:val="24"/>
          <w:szCs w:val="24"/>
        </w:rPr>
      </w:pPr>
      <w:r w:rsidRPr="00AF38A8">
        <w:rPr>
          <w:rFonts w:asciiTheme="minorHAnsi" w:hAnsiTheme="minorHAnsi" w:cstheme="minorHAnsi"/>
          <w:b/>
          <w:bCs/>
          <w:sz w:val="24"/>
          <w:szCs w:val="24"/>
        </w:rPr>
        <w:t xml:space="preserve">Lettera </w:t>
      </w:r>
      <w:r w:rsidR="00BA3D28" w:rsidRPr="00AF38A8">
        <w:rPr>
          <w:rFonts w:asciiTheme="minorHAnsi" w:eastAsia="Times New Roman" w:hAnsiTheme="minorHAnsi" w:cstheme="minorHAnsi"/>
          <w:b/>
          <w:sz w:val="24"/>
          <w:szCs w:val="24"/>
        </w:rPr>
        <w:t xml:space="preserve">di </w:t>
      </w:r>
      <w:r w:rsidRPr="00AF38A8">
        <w:rPr>
          <w:rFonts w:asciiTheme="minorHAnsi" w:hAnsiTheme="minorHAnsi" w:cstheme="minorHAnsi"/>
          <w:b/>
          <w:bCs/>
          <w:sz w:val="24"/>
          <w:szCs w:val="24"/>
        </w:rPr>
        <w:t>invito</w:t>
      </w:r>
    </w:p>
    <w:p w14:paraId="1E97BD2E" w14:textId="5EC9370F" w:rsidR="002009CD" w:rsidRPr="00AF38A8" w:rsidRDefault="005577D2" w:rsidP="00BD1359">
      <w:pPr>
        <w:spacing w:line="276" w:lineRule="auto"/>
        <w:jc w:val="center"/>
        <w:rPr>
          <w:rFonts w:asciiTheme="minorHAnsi" w:hAnsiTheme="minorHAnsi" w:cstheme="minorHAnsi"/>
          <w:b/>
          <w:bCs/>
          <w:sz w:val="24"/>
          <w:szCs w:val="24"/>
        </w:rPr>
      </w:pPr>
      <w:r w:rsidRPr="00AF38A8">
        <w:rPr>
          <w:rFonts w:asciiTheme="minorHAnsi" w:hAnsiTheme="minorHAnsi" w:cstheme="minorHAnsi"/>
          <w:b/>
          <w:bCs/>
          <w:sz w:val="24"/>
          <w:szCs w:val="24"/>
        </w:rPr>
        <w:t>Approvata con decisione</w:t>
      </w:r>
      <w:r w:rsidR="00BA3D28" w:rsidRPr="00AF38A8">
        <w:rPr>
          <w:rFonts w:asciiTheme="minorHAnsi" w:eastAsia="Times New Roman" w:hAnsiTheme="minorHAnsi" w:cstheme="minorHAnsi"/>
          <w:b/>
          <w:sz w:val="24"/>
          <w:szCs w:val="24"/>
        </w:rPr>
        <w:t xml:space="preserve"> di </w:t>
      </w:r>
      <w:r w:rsidRPr="00AF38A8">
        <w:rPr>
          <w:rFonts w:asciiTheme="minorHAnsi" w:hAnsiTheme="minorHAnsi" w:cstheme="minorHAnsi"/>
          <w:b/>
          <w:bCs/>
          <w:sz w:val="24"/>
          <w:szCs w:val="24"/>
        </w:rPr>
        <w:t>contrarre</w:t>
      </w:r>
      <w:r w:rsidR="00BA3D28" w:rsidRPr="00AF38A8">
        <w:rPr>
          <w:rFonts w:asciiTheme="minorHAnsi" w:eastAsia="Times New Roman" w:hAnsiTheme="minorHAnsi" w:cstheme="minorHAnsi"/>
          <w:b/>
          <w:sz w:val="24"/>
          <w:szCs w:val="24"/>
        </w:rPr>
        <w:t xml:space="preserve"> del</w:t>
      </w:r>
      <w:r w:rsidR="003372A8" w:rsidRPr="00AF38A8">
        <w:rPr>
          <w:rFonts w:asciiTheme="minorHAnsi" w:hAnsiTheme="minorHAnsi" w:cstheme="minorHAnsi"/>
          <w:b/>
          <w:bCs/>
          <w:sz w:val="24"/>
          <w:szCs w:val="24"/>
        </w:rPr>
        <w:t>……………….</w:t>
      </w:r>
    </w:p>
    <w:p w14:paraId="3E414A8E" w14:textId="77777777" w:rsidR="006C7341" w:rsidRPr="00AF38A8" w:rsidRDefault="006C7341" w:rsidP="00BD1359">
      <w:pPr>
        <w:pStyle w:val="Default"/>
        <w:spacing w:line="276" w:lineRule="auto"/>
        <w:jc w:val="both"/>
        <w:rPr>
          <w:rFonts w:asciiTheme="minorHAnsi" w:hAnsiTheme="minorHAnsi" w:cstheme="minorHAnsi"/>
          <w:b/>
          <w:bCs/>
          <w:color w:val="auto"/>
        </w:rPr>
      </w:pPr>
    </w:p>
    <w:p w14:paraId="2A9DB79E" w14:textId="2AF7C33E" w:rsidR="0076366E" w:rsidRPr="00AF38A8" w:rsidRDefault="003372A8" w:rsidP="00BD1359">
      <w:pPr>
        <w:spacing w:line="276" w:lineRule="auto"/>
        <w:jc w:val="both"/>
        <w:rPr>
          <w:rFonts w:asciiTheme="minorHAnsi" w:eastAsia="Times New Roman" w:hAnsiTheme="minorHAnsi" w:cstheme="minorHAnsi"/>
          <w:b/>
          <w:sz w:val="24"/>
          <w:szCs w:val="24"/>
        </w:rPr>
      </w:pPr>
      <w:r w:rsidRPr="00AF38A8">
        <w:rPr>
          <w:rFonts w:asciiTheme="minorHAnsi" w:hAnsiTheme="minorHAnsi" w:cstheme="minorHAnsi"/>
          <w:b/>
          <w:bCs/>
          <w:sz w:val="24"/>
          <w:szCs w:val="24"/>
        </w:rPr>
        <w:t>Procedura negoziata senza pubblicazione di bando di gara ex art. 50</w:t>
      </w:r>
      <w:r w:rsidR="00792399">
        <w:rPr>
          <w:rFonts w:asciiTheme="minorHAnsi" w:hAnsiTheme="minorHAnsi" w:cstheme="minorHAnsi"/>
          <w:b/>
          <w:bCs/>
          <w:sz w:val="24"/>
          <w:szCs w:val="24"/>
        </w:rPr>
        <w:t>,</w:t>
      </w:r>
      <w:r w:rsidRPr="00AF38A8">
        <w:rPr>
          <w:rFonts w:asciiTheme="minorHAnsi" w:hAnsiTheme="minorHAnsi" w:cstheme="minorHAnsi"/>
          <w:b/>
          <w:bCs/>
          <w:sz w:val="24"/>
          <w:szCs w:val="24"/>
        </w:rPr>
        <w:t xml:space="preserve"> comma 1</w:t>
      </w:r>
      <w:r w:rsidR="00792399">
        <w:rPr>
          <w:rFonts w:asciiTheme="minorHAnsi" w:hAnsiTheme="minorHAnsi" w:cstheme="minorHAnsi"/>
          <w:b/>
          <w:bCs/>
          <w:sz w:val="24"/>
          <w:szCs w:val="24"/>
        </w:rPr>
        <w:t>,</w:t>
      </w:r>
      <w:r w:rsidRPr="00AF38A8">
        <w:rPr>
          <w:rFonts w:asciiTheme="minorHAnsi" w:hAnsiTheme="minorHAnsi" w:cstheme="minorHAnsi"/>
          <w:b/>
          <w:bCs/>
          <w:sz w:val="24"/>
          <w:szCs w:val="24"/>
        </w:rPr>
        <w:t xml:space="preserve"> lett. </w:t>
      </w:r>
      <w:r w:rsidR="001135D4" w:rsidRPr="00AF38A8">
        <w:rPr>
          <w:rFonts w:asciiTheme="minorHAnsi" w:hAnsiTheme="minorHAnsi" w:cstheme="minorHAnsi"/>
          <w:b/>
          <w:bCs/>
          <w:sz w:val="24"/>
          <w:szCs w:val="24"/>
        </w:rPr>
        <w:t>e</w:t>
      </w:r>
      <w:r w:rsidRPr="00AF38A8">
        <w:rPr>
          <w:rFonts w:asciiTheme="minorHAnsi" w:hAnsiTheme="minorHAnsi" w:cstheme="minorHAnsi"/>
          <w:b/>
          <w:bCs/>
          <w:sz w:val="24"/>
          <w:szCs w:val="24"/>
        </w:rPr>
        <w:t xml:space="preserve">) del d.lgs. </w:t>
      </w:r>
      <w:r w:rsidR="00792399">
        <w:rPr>
          <w:rFonts w:asciiTheme="minorHAnsi" w:hAnsiTheme="minorHAnsi" w:cstheme="minorHAnsi"/>
          <w:b/>
          <w:bCs/>
          <w:sz w:val="24"/>
          <w:szCs w:val="24"/>
        </w:rPr>
        <w:t xml:space="preserve">n. </w:t>
      </w:r>
      <w:r w:rsidRPr="00AF38A8">
        <w:rPr>
          <w:rFonts w:asciiTheme="minorHAnsi" w:hAnsiTheme="minorHAnsi" w:cstheme="minorHAnsi"/>
          <w:b/>
          <w:bCs/>
          <w:sz w:val="24"/>
          <w:szCs w:val="24"/>
        </w:rPr>
        <w:t>36/</w:t>
      </w:r>
      <w:r w:rsidR="00BA3D28" w:rsidRPr="00AF38A8">
        <w:rPr>
          <w:rFonts w:asciiTheme="minorHAnsi" w:eastAsia="Times New Roman" w:hAnsiTheme="minorHAnsi" w:cstheme="minorHAnsi"/>
          <w:b/>
          <w:sz w:val="24"/>
          <w:szCs w:val="24"/>
        </w:rPr>
        <w:t xml:space="preserve">2023, </w:t>
      </w:r>
      <w:r w:rsidR="006C0A29" w:rsidRPr="00AF38A8">
        <w:rPr>
          <w:rFonts w:asciiTheme="minorHAnsi" w:hAnsiTheme="minorHAnsi" w:cstheme="minorHAnsi"/>
          <w:b/>
          <w:bCs/>
          <w:sz w:val="24"/>
          <w:szCs w:val="24"/>
        </w:rPr>
        <w:t>da aggiudicarsi</w:t>
      </w:r>
      <w:r w:rsidR="00BA3D28" w:rsidRPr="00AF38A8">
        <w:rPr>
          <w:rFonts w:asciiTheme="minorHAnsi" w:eastAsia="Times New Roman" w:hAnsiTheme="minorHAnsi" w:cstheme="minorHAnsi"/>
          <w:b/>
          <w:sz w:val="24"/>
          <w:szCs w:val="24"/>
        </w:rPr>
        <w:t xml:space="preserve"> con il criterio dell’offerta economicamente più vantaggiosa</w:t>
      </w:r>
      <w:r w:rsidR="006C0A29" w:rsidRPr="00AF38A8">
        <w:rPr>
          <w:rFonts w:asciiTheme="minorHAnsi" w:hAnsiTheme="minorHAnsi" w:cstheme="minorHAnsi"/>
          <w:b/>
          <w:bCs/>
          <w:sz w:val="24"/>
          <w:szCs w:val="24"/>
        </w:rPr>
        <w:t>,</w:t>
      </w:r>
      <w:bookmarkStart w:id="0" w:name="_heading=h.gjdgxs" w:colFirst="0" w:colLast="0"/>
      <w:bookmarkStart w:id="1" w:name="_heading=h.tyjcwt" w:colFirst="0" w:colLast="0"/>
      <w:bookmarkStart w:id="2" w:name="_heading=h.1t3h5sf" w:colFirst="0" w:colLast="0"/>
      <w:bookmarkStart w:id="3" w:name="_heading=h.2s8eyo1" w:colFirst="0" w:colLast="0"/>
      <w:bookmarkStart w:id="4" w:name="_heading=h.lnxbz9" w:colFirst="0" w:colLast="0"/>
      <w:bookmarkStart w:id="5" w:name="_heading=h.1y810tw" w:colFirst="0" w:colLast="0"/>
      <w:bookmarkEnd w:id="0"/>
      <w:bookmarkEnd w:id="1"/>
      <w:bookmarkEnd w:id="2"/>
      <w:bookmarkEnd w:id="3"/>
      <w:bookmarkEnd w:id="4"/>
      <w:bookmarkEnd w:id="5"/>
      <w:r w:rsidR="00BA3D28" w:rsidRPr="00AF38A8">
        <w:rPr>
          <w:rFonts w:asciiTheme="minorHAnsi" w:eastAsia="Times New Roman" w:hAnsiTheme="minorHAnsi" w:cstheme="minorHAnsi"/>
          <w:b/>
          <w:sz w:val="24"/>
          <w:szCs w:val="24"/>
        </w:rPr>
        <w:t xml:space="preserve"> per l’affidamento </w:t>
      </w:r>
      <w:r w:rsidRPr="00AF38A8">
        <w:rPr>
          <w:rFonts w:asciiTheme="minorHAnsi" w:hAnsiTheme="minorHAnsi" w:cstheme="minorHAnsi"/>
          <w:b/>
          <w:bCs/>
          <w:sz w:val="24"/>
          <w:szCs w:val="24"/>
        </w:rPr>
        <w:t>dei</w:t>
      </w:r>
      <w:r w:rsidR="00BA3D28" w:rsidRPr="00AF38A8">
        <w:rPr>
          <w:rFonts w:asciiTheme="minorHAnsi" w:eastAsia="Times New Roman" w:hAnsiTheme="minorHAnsi" w:cstheme="minorHAnsi"/>
          <w:b/>
          <w:sz w:val="24"/>
          <w:szCs w:val="24"/>
        </w:rPr>
        <w:t xml:space="preserve"> servizi di ingegneria</w:t>
      </w:r>
      <w:r w:rsidR="006816F4">
        <w:rPr>
          <w:rFonts w:asciiTheme="minorHAnsi" w:eastAsia="Times New Roman" w:hAnsiTheme="minorHAnsi" w:cstheme="minorHAnsi"/>
          <w:b/>
          <w:sz w:val="24"/>
          <w:szCs w:val="24"/>
        </w:rPr>
        <w:t xml:space="preserve"> e architetture </w:t>
      </w:r>
      <w:r w:rsidR="006816F4">
        <w:rPr>
          <w:rFonts w:asciiTheme="minorHAnsi" w:eastAsia="Times New Roman" w:hAnsiTheme="minorHAnsi" w:cstheme="minorHAnsi"/>
          <w:b/>
          <w:bCs/>
          <w:sz w:val="24"/>
          <w:szCs w:val="24"/>
        </w:rPr>
        <w:t xml:space="preserve">e </w:t>
      </w:r>
      <w:r w:rsidR="004C6277" w:rsidRPr="00AF38A8">
        <w:rPr>
          <w:rFonts w:asciiTheme="minorHAnsi" w:eastAsia="Times New Roman" w:hAnsiTheme="minorHAnsi" w:cstheme="minorHAnsi"/>
          <w:b/>
          <w:bCs/>
          <w:sz w:val="24"/>
          <w:szCs w:val="24"/>
        </w:rPr>
        <w:t>attività di progettazione</w:t>
      </w:r>
      <w:r w:rsidR="00EB499B" w:rsidRPr="00AF38A8">
        <w:rPr>
          <w:rFonts w:asciiTheme="minorHAnsi" w:eastAsia="Times New Roman" w:hAnsiTheme="minorHAnsi" w:cstheme="minorHAnsi"/>
          <w:b/>
          <w:bCs/>
          <w:sz w:val="24"/>
          <w:szCs w:val="24"/>
        </w:rPr>
        <w:t>…</w:t>
      </w:r>
      <w:r w:rsidR="00BA3D28" w:rsidRPr="00AF38A8">
        <w:rPr>
          <w:rFonts w:asciiTheme="minorHAnsi" w:eastAsia="Times New Roman" w:hAnsiTheme="minorHAnsi" w:cstheme="minorHAnsi"/>
          <w:b/>
          <w:sz w:val="24"/>
          <w:szCs w:val="24"/>
        </w:rPr>
        <w:t xml:space="preserve"> [AD ESEMPIO</w:t>
      </w:r>
      <w:r w:rsidR="00EB499B" w:rsidRPr="00AF38A8">
        <w:rPr>
          <w:rFonts w:asciiTheme="minorHAnsi" w:eastAsia="Times New Roman" w:hAnsiTheme="minorHAnsi" w:cstheme="minorHAnsi"/>
          <w:b/>
          <w:bCs/>
          <w:sz w:val="24"/>
          <w:szCs w:val="24"/>
        </w:rPr>
        <w:t>,</w:t>
      </w:r>
      <w:r w:rsidR="00BA3D28" w:rsidRPr="00AF38A8">
        <w:rPr>
          <w:rFonts w:asciiTheme="minorHAnsi" w:eastAsia="Times New Roman" w:hAnsiTheme="minorHAnsi" w:cstheme="minorHAnsi"/>
          <w:b/>
          <w:sz w:val="24"/>
          <w:szCs w:val="24"/>
        </w:rPr>
        <w:t xml:space="preserve"> </w:t>
      </w:r>
      <w:r w:rsidR="00BA3D28" w:rsidRPr="00AF38A8">
        <w:rPr>
          <w:rFonts w:asciiTheme="minorHAnsi" w:eastAsia="Times New Roman" w:hAnsiTheme="minorHAnsi" w:cstheme="minorHAnsi"/>
          <w:b/>
          <w:i/>
          <w:sz w:val="24"/>
          <w:szCs w:val="24"/>
        </w:rPr>
        <w:t>inerenti la progettazione di fattibilità tecnico ed economica ed esecutiva, con riserva di affidamento della direzione lavori e del coordinamento della sicurezza in fase di progettazione</w:t>
      </w:r>
      <w:r w:rsidR="00EB499B" w:rsidRPr="00AF38A8">
        <w:rPr>
          <w:rFonts w:asciiTheme="minorHAnsi" w:eastAsia="Times New Roman" w:hAnsiTheme="minorHAnsi" w:cstheme="minorHAnsi"/>
          <w:b/>
          <w:i/>
          <w:sz w:val="24"/>
          <w:szCs w:val="24"/>
        </w:rPr>
        <w:t>],</w:t>
      </w:r>
      <w:r w:rsidR="00BA3D28" w:rsidRPr="00AF38A8">
        <w:rPr>
          <w:rFonts w:asciiTheme="minorHAnsi" w:eastAsia="Times New Roman" w:hAnsiTheme="minorHAnsi" w:cstheme="minorHAnsi"/>
          <w:b/>
          <w:i/>
          <w:sz w:val="24"/>
          <w:szCs w:val="24"/>
        </w:rPr>
        <w:t xml:space="preserve"> relativi all’intervento</w:t>
      </w:r>
      <w:r w:rsidR="004C6277" w:rsidRPr="00AF38A8">
        <w:rPr>
          <w:rFonts w:asciiTheme="minorHAnsi" w:eastAsia="Times New Roman" w:hAnsiTheme="minorHAnsi" w:cstheme="minorHAnsi"/>
          <w:b/>
          <w:i/>
          <w:sz w:val="24"/>
          <w:szCs w:val="24"/>
        </w:rPr>
        <w:t xml:space="preserve"> [specificare]</w:t>
      </w:r>
      <w:r w:rsidR="00EB499B" w:rsidRPr="00AF38A8">
        <w:rPr>
          <w:rFonts w:asciiTheme="minorHAnsi" w:eastAsia="Times New Roman" w:hAnsiTheme="minorHAnsi" w:cstheme="minorHAnsi"/>
          <w:b/>
          <w:i/>
          <w:sz w:val="24"/>
          <w:szCs w:val="24"/>
        </w:rPr>
        <w:t>….</w:t>
      </w:r>
    </w:p>
    <w:p w14:paraId="6D20772F" w14:textId="39D305A7" w:rsidR="005577D2" w:rsidRPr="00AF38A8" w:rsidRDefault="005577D2" w:rsidP="00BD1359">
      <w:pPr>
        <w:pStyle w:val="Default"/>
        <w:spacing w:line="276" w:lineRule="auto"/>
        <w:rPr>
          <w:rFonts w:asciiTheme="minorHAnsi" w:hAnsiTheme="minorHAnsi" w:cstheme="minorHAnsi"/>
          <w:color w:val="auto"/>
        </w:rPr>
      </w:pPr>
    </w:p>
    <w:p w14:paraId="11892B28" w14:textId="77777777" w:rsidR="001B3A4D" w:rsidRPr="00AF38A8" w:rsidRDefault="001B3A4D" w:rsidP="00BD1359">
      <w:pPr>
        <w:pStyle w:val="Titolo1"/>
        <w:numPr>
          <w:ilvl w:val="0"/>
          <w:numId w:val="18"/>
        </w:numPr>
        <w:spacing w:line="276" w:lineRule="auto"/>
        <w:jc w:val="left"/>
        <w:rPr>
          <w:rFonts w:asciiTheme="minorHAnsi" w:eastAsia="Times New Roman" w:hAnsiTheme="minorHAnsi" w:cstheme="minorHAnsi"/>
          <w:sz w:val="24"/>
          <w:szCs w:val="24"/>
        </w:rPr>
      </w:pPr>
      <w:bookmarkStart w:id="6" w:name="_Toc102466435"/>
      <w:r w:rsidRPr="00AF38A8">
        <w:rPr>
          <w:rFonts w:asciiTheme="minorHAnsi" w:eastAsia="Times New Roman" w:hAnsiTheme="minorHAnsi" w:cstheme="minorHAnsi"/>
          <w:sz w:val="24"/>
          <w:szCs w:val="24"/>
        </w:rPr>
        <w:t>P</w:t>
      </w:r>
      <w:bookmarkEnd w:id="6"/>
      <w:r w:rsidR="00EB499B" w:rsidRPr="00AF38A8">
        <w:rPr>
          <w:rFonts w:asciiTheme="minorHAnsi" w:eastAsia="Times New Roman" w:hAnsiTheme="minorHAnsi" w:cstheme="minorHAnsi"/>
          <w:sz w:val="24"/>
          <w:szCs w:val="24"/>
        </w:rPr>
        <w:t>remesse</w:t>
      </w:r>
    </w:p>
    <w:p w14:paraId="52214548" w14:textId="55311517" w:rsidR="0076366E" w:rsidRPr="00AF38A8" w:rsidRDefault="00BA3D28" w:rsidP="00BD1359">
      <w:pPr>
        <w:spacing w:line="276" w:lineRule="auto"/>
        <w:jc w:val="both"/>
        <w:rPr>
          <w:rFonts w:asciiTheme="minorHAnsi" w:eastAsia="Times New Roman" w:hAnsiTheme="minorHAnsi" w:cstheme="minorHAnsi"/>
          <w:sz w:val="24"/>
          <w:szCs w:val="24"/>
        </w:rPr>
      </w:pPr>
      <w:bookmarkStart w:id="7" w:name="_heading=h.3znysh7" w:colFirst="0" w:colLast="0"/>
      <w:bookmarkStart w:id="8" w:name="bookmark=id.tyjcwt" w:colFirst="0" w:colLast="0"/>
      <w:bookmarkEnd w:id="7"/>
      <w:bookmarkEnd w:id="8"/>
      <w:r w:rsidRPr="00AF38A8">
        <w:rPr>
          <w:rFonts w:asciiTheme="minorHAnsi" w:eastAsia="Times New Roman" w:hAnsiTheme="minorHAnsi" w:cstheme="minorHAnsi"/>
          <w:sz w:val="24"/>
          <w:szCs w:val="24"/>
        </w:rPr>
        <w:t>Con decisione di contrarre n.</w:t>
      </w:r>
      <w:r w:rsidRPr="00AF38A8">
        <w:rPr>
          <w:rFonts w:asciiTheme="minorHAnsi" w:eastAsia="Times New Roman" w:hAnsiTheme="minorHAnsi" w:cstheme="minorHAnsi"/>
          <w:sz w:val="24"/>
          <w:szCs w:val="24"/>
        </w:rPr>
        <w:tab/>
        <w:t>[</w:t>
      </w:r>
      <w:r w:rsidRPr="00AF38A8">
        <w:rPr>
          <w:rFonts w:asciiTheme="minorHAnsi" w:eastAsia="Times New Roman" w:hAnsiTheme="minorHAnsi" w:cstheme="minorHAnsi"/>
          <w:i/>
          <w:sz w:val="24"/>
          <w:szCs w:val="24"/>
        </w:rPr>
        <w:t>specificare</w:t>
      </w:r>
      <w:r w:rsidRPr="00AF38A8">
        <w:rPr>
          <w:rFonts w:asciiTheme="minorHAnsi" w:eastAsia="Times New Roman" w:hAnsiTheme="minorHAnsi" w:cstheme="minorHAnsi"/>
          <w:sz w:val="24"/>
          <w:szCs w:val="24"/>
        </w:rPr>
        <w:t>] del … [</w:t>
      </w:r>
      <w:r w:rsidRPr="00AF38A8">
        <w:rPr>
          <w:rFonts w:asciiTheme="minorHAnsi" w:eastAsia="Times New Roman" w:hAnsiTheme="minorHAnsi" w:cstheme="minorHAnsi"/>
          <w:i/>
          <w:sz w:val="24"/>
          <w:szCs w:val="24"/>
        </w:rPr>
        <w:t>indicare</w:t>
      </w:r>
      <w:r w:rsidRPr="00AF38A8">
        <w:rPr>
          <w:rFonts w:asciiTheme="minorHAnsi" w:eastAsia="Times New Roman" w:hAnsiTheme="minorHAnsi" w:cstheme="minorHAnsi"/>
          <w:sz w:val="24"/>
          <w:szCs w:val="24"/>
        </w:rPr>
        <w:t>], questa Amministrazione ha deciso di affidare [</w:t>
      </w:r>
      <w:r w:rsidRPr="00AF38A8">
        <w:rPr>
          <w:rFonts w:asciiTheme="minorHAnsi" w:eastAsia="Times New Roman" w:hAnsiTheme="minorHAnsi" w:cstheme="minorHAnsi"/>
          <w:i/>
          <w:sz w:val="24"/>
          <w:szCs w:val="24"/>
        </w:rPr>
        <w:t>indicare i servizi di ingegneria e</w:t>
      </w:r>
      <w:r w:rsidR="006816F4">
        <w:rPr>
          <w:rFonts w:asciiTheme="minorHAnsi" w:eastAsia="Times New Roman" w:hAnsiTheme="minorHAnsi" w:cstheme="minorHAnsi"/>
          <w:i/>
          <w:sz w:val="24"/>
          <w:szCs w:val="24"/>
        </w:rPr>
        <w:t xml:space="preserve"> architettura e attività di progettazione</w:t>
      </w:r>
      <w:r w:rsidRPr="00AF38A8">
        <w:rPr>
          <w:rFonts w:asciiTheme="minorHAnsi" w:eastAsia="Times New Roman" w:hAnsiTheme="minorHAnsi" w:cstheme="minorHAnsi"/>
          <w:i/>
          <w:sz w:val="24"/>
          <w:szCs w:val="24"/>
        </w:rPr>
        <w:t xml:space="preserve"> richiesti</w:t>
      </w:r>
      <w:r w:rsidRPr="00AF38A8">
        <w:rPr>
          <w:rFonts w:asciiTheme="minorHAnsi" w:eastAsia="Times New Roman" w:hAnsiTheme="minorHAnsi" w:cstheme="minorHAnsi"/>
          <w:sz w:val="24"/>
          <w:szCs w:val="24"/>
        </w:rPr>
        <w:t>] inerenti ai lavori di</w:t>
      </w:r>
      <w:r w:rsidR="00792399">
        <w:rPr>
          <w:rFonts w:asciiTheme="minorHAnsi" w:eastAsia="Times New Roman" w:hAnsiTheme="minorHAnsi" w:cstheme="minorHAnsi"/>
          <w:sz w:val="24"/>
          <w:szCs w:val="24"/>
        </w:rPr>
        <w:t>…</w:t>
      </w:r>
      <w:r w:rsidR="006816F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specificare i lavori</w:t>
      </w:r>
      <w:r w:rsidRPr="00AF38A8">
        <w:rPr>
          <w:rFonts w:asciiTheme="minorHAnsi" w:eastAsia="Times New Roman" w:hAnsiTheme="minorHAnsi" w:cstheme="minorHAnsi"/>
          <w:sz w:val="24"/>
          <w:szCs w:val="24"/>
        </w:rPr>
        <w:t>]</w:t>
      </w:r>
      <w:r w:rsidR="009B40DA" w:rsidRPr="00AF38A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w:t>
      </w:r>
      <w:r w:rsidR="00CB6205" w:rsidRPr="00AF38A8">
        <w:rPr>
          <w:rFonts w:asciiTheme="minorHAnsi" w:eastAsia="Times New Roman" w:hAnsiTheme="minorHAnsi" w:cstheme="minorHAnsi"/>
          <w:sz w:val="24"/>
          <w:szCs w:val="24"/>
        </w:rPr>
        <w:t>conformi</w:t>
      </w:r>
      <w:r w:rsidRPr="00AF38A8">
        <w:rPr>
          <w:rFonts w:asciiTheme="minorHAnsi" w:eastAsia="Times New Roman" w:hAnsiTheme="minorHAnsi" w:cstheme="minorHAnsi"/>
          <w:sz w:val="24"/>
          <w:szCs w:val="24"/>
        </w:rPr>
        <w:t xml:space="preserve"> alle specifiche tecniche e alle clausole contrattuali </w:t>
      </w:r>
      <w:r w:rsidRPr="00792399">
        <w:rPr>
          <w:rFonts w:asciiTheme="minorHAnsi" w:eastAsia="Times New Roman" w:hAnsiTheme="minorHAnsi" w:cstheme="minorHAnsi"/>
          <w:sz w:val="24"/>
          <w:szCs w:val="24"/>
        </w:rPr>
        <w:t xml:space="preserve">contenute nei criteri ambientali minimi di cui al </w:t>
      </w:r>
      <w:r w:rsidR="00CB6205" w:rsidRPr="00792399">
        <w:rPr>
          <w:rFonts w:asciiTheme="minorHAnsi" w:eastAsia="Times New Roman" w:hAnsiTheme="minorHAnsi" w:cstheme="minorHAnsi"/>
          <w:sz w:val="24"/>
          <w:szCs w:val="24"/>
        </w:rPr>
        <w:t>d.m. 23 giugno 2022 n. 256 recante «Criteri ambientali minimi per l’affidamento di servizi di progettazione di interventi edilizi, per l'affidamento dei lavori per interventi edilizi e per l'affidamento congiunto di progettazione e lavori per interventi edilizi»</w:t>
      </w:r>
      <w:r w:rsidR="00CB6205" w:rsidRPr="00AF38A8">
        <w:rPr>
          <w:rFonts w:asciiTheme="minorHAnsi" w:eastAsia="Times New Roman" w:hAnsiTheme="minorHAnsi" w:cstheme="minorHAnsi"/>
          <w:i/>
          <w:sz w:val="24"/>
          <w:szCs w:val="24"/>
        </w:rPr>
        <w:t xml:space="preserve"> </w:t>
      </w:r>
      <w:r w:rsidR="00792399">
        <w:rPr>
          <w:rFonts w:asciiTheme="minorHAnsi" w:eastAsia="Times New Roman" w:hAnsiTheme="minorHAnsi" w:cstheme="minorHAnsi"/>
          <w:i/>
          <w:sz w:val="24"/>
          <w:szCs w:val="24"/>
        </w:rPr>
        <w:t xml:space="preserve">[indicare </w:t>
      </w:r>
      <w:r w:rsidR="00D11CAB" w:rsidRPr="00AF38A8">
        <w:rPr>
          <w:rFonts w:asciiTheme="minorHAnsi" w:eastAsia="Times New Roman" w:hAnsiTheme="minorHAnsi" w:cstheme="minorHAnsi"/>
          <w:i/>
          <w:sz w:val="24"/>
          <w:szCs w:val="24"/>
        </w:rPr>
        <w:t>eventualmente</w:t>
      </w:r>
      <w:r w:rsidR="00CB6205" w:rsidRPr="00AF38A8">
        <w:rPr>
          <w:rFonts w:asciiTheme="minorHAnsi" w:eastAsia="Times New Roman" w:hAnsiTheme="minorHAnsi" w:cstheme="minorHAnsi"/>
          <w:i/>
          <w:sz w:val="24"/>
          <w:szCs w:val="24"/>
        </w:rPr>
        <w:t xml:space="preserve"> altro d.m. di riferimento</w:t>
      </w:r>
      <w:r w:rsidR="00792399">
        <w:rPr>
          <w:rFonts w:asciiTheme="minorHAnsi" w:eastAsia="Times New Roman" w:hAnsiTheme="minorHAnsi" w:cstheme="minorHAnsi"/>
          <w:i/>
          <w:sz w:val="24"/>
          <w:szCs w:val="24"/>
        </w:rPr>
        <w:t xml:space="preserve"> applicabile</w:t>
      </w:r>
      <w:r w:rsidR="009B40DA" w:rsidRPr="00AF38A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w:t>
      </w:r>
    </w:p>
    <w:p w14:paraId="2DDA0332" w14:textId="77777777" w:rsidR="007A3DAF" w:rsidRPr="00AF38A8" w:rsidRDefault="007A3DAF" w:rsidP="00BD1359">
      <w:pPr>
        <w:spacing w:line="276" w:lineRule="auto"/>
        <w:jc w:val="both"/>
        <w:rPr>
          <w:rFonts w:asciiTheme="minorHAnsi" w:eastAsia="Times New Roman" w:hAnsiTheme="minorHAnsi" w:cstheme="minorHAnsi"/>
          <w:sz w:val="24"/>
          <w:szCs w:val="24"/>
        </w:rPr>
      </w:pPr>
    </w:p>
    <w:p w14:paraId="2E9F7369" w14:textId="62688096" w:rsidR="00CB6205" w:rsidRPr="001D7F02" w:rsidRDefault="00792399"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bookmarkStart w:id="9" w:name="_Hlk140921960"/>
      <w:r w:rsidRPr="001D7F02">
        <w:rPr>
          <w:rFonts w:ascii="Titillium" w:hAnsi="Titillium"/>
          <w:i/>
          <w:sz w:val="18"/>
          <w:szCs w:val="18"/>
        </w:rPr>
        <w:t>N.</w:t>
      </w:r>
      <w:r w:rsidR="001D7F02">
        <w:rPr>
          <w:rFonts w:ascii="Titillium" w:hAnsi="Titillium"/>
          <w:i/>
          <w:sz w:val="18"/>
          <w:szCs w:val="18"/>
        </w:rPr>
        <w:t>B.</w:t>
      </w:r>
      <w:r w:rsidRPr="001D7F02">
        <w:rPr>
          <w:rFonts w:ascii="Titillium" w:hAnsi="Titillium"/>
          <w:i/>
          <w:sz w:val="18"/>
          <w:szCs w:val="18"/>
        </w:rPr>
        <w:t xml:space="preserve"> </w:t>
      </w:r>
      <w:r w:rsidR="00CB6205" w:rsidRPr="001D7F02">
        <w:rPr>
          <w:rFonts w:ascii="Titillium" w:hAnsi="Titillium"/>
          <w:i/>
          <w:sz w:val="18"/>
          <w:szCs w:val="18"/>
        </w:rPr>
        <w:t xml:space="preserve">occorre considerare eventuali ulteriori </w:t>
      </w:r>
      <w:r w:rsidR="001D7F02">
        <w:rPr>
          <w:rFonts w:ascii="Titillium" w:hAnsi="Titillium"/>
          <w:i/>
          <w:sz w:val="18"/>
          <w:szCs w:val="18"/>
        </w:rPr>
        <w:t>CAM</w:t>
      </w:r>
      <w:r w:rsidR="00CB6205" w:rsidRPr="001D7F02">
        <w:rPr>
          <w:rFonts w:ascii="Titillium" w:hAnsi="Titillium"/>
          <w:i/>
          <w:sz w:val="18"/>
          <w:szCs w:val="18"/>
        </w:rPr>
        <w:t xml:space="preserve"> vigenti ove pertinenti in relazione allo specifico oggetto dell’appalto</w:t>
      </w:r>
      <w:r w:rsidR="00D11CAB" w:rsidRPr="001D7F02">
        <w:rPr>
          <w:rFonts w:ascii="Titillium" w:hAnsi="Titillium"/>
          <w:i/>
          <w:sz w:val="18"/>
          <w:szCs w:val="18"/>
        </w:rPr>
        <w:t xml:space="preserve">, quali ad </w:t>
      </w:r>
      <w:r w:rsidR="007A3DAF" w:rsidRPr="001D7F02">
        <w:rPr>
          <w:rFonts w:ascii="Titillium" w:hAnsi="Titillium"/>
          <w:i/>
          <w:sz w:val="18"/>
          <w:szCs w:val="18"/>
        </w:rPr>
        <w:t>esempio</w:t>
      </w:r>
      <w:r w:rsidR="00CB6205" w:rsidRPr="001D7F02">
        <w:rPr>
          <w:rFonts w:ascii="Titillium" w:hAnsi="Titillium"/>
          <w:i/>
          <w:sz w:val="18"/>
          <w:szCs w:val="18"/>
        </w:rPr>
        <w:t xml:space="preserve">: “Criteri ambientali minimi per l’affidamento del servizio di progettazione di parchi giochi, la fornitura e la posa in opera di prodotti per l’arredo urbano e di arredi per gli esterni e l’affidamento del servizio di manutenzione ordinaria e straordinaria di prodotti per arredo urbano e di arredi per esterni”  (d.m. 7 febbraio 2023 – G.U. n. 69 del 22 marzo 2022);  “Criteri ambientali minimi per il servizio di gestione del verde pubblico e la fornitura di prodotti per la cura del verde” (d.m. 10 marzo 2020 – G.U. n. 90 del 4 aprile 2020); </w:t>
      </w:r>
      <w:r w:rsidR="001D7F02">
        <w:rPr>
          <w:rFonts w:ascii="Titillium" w:hAnsi="Titillium"/>
          <w:i/>
          <w:sz w:val="18"/>
          <w:szCs w:val="18"/>
        </w:rPr>
        <w:t xml:space="preserve"> </w:t>
      </w:r>
      <w:r w:rsidR="00CB6205" w:rsidRPr="001D7F02">
        <w:rPr>
          <w:rFonts w:ascii="Titillium" w:hAnsi="Titillium"/>
          <w:i/>
          <w:sz w:val="18"/>
          <w:szCs w:val="18"/>
        </w:rPr>
        <w:t>“Criteri Ambientali Minimi per l’acquisizione di sorgenti luminose per illuminazione pubblica, l’acquisizione di apparecchi per illuminazione pubblica, l’affidamento del servizio di progettazione di impianti per illuminazione pubblica” (d.m. 27 settembre 2017 - G.U. n</w:t>
      </w:r>
      <w:r w:rsidRPr="001D7F02">
        <w:rPr>
          <w:rFonts w:ascii="Titillium" w:hAnsi="Titillium"/>
          <w:i/>
          <w:sz w:val="18"/>
          <w:szCs w:val="18"/>
        </w:rPr>
        <w:t>.</w:t>
      </w:r>
      <w:r w:rsidR="00CB6205" w:rsidRPr="001D7F02">
        <w:rPr>
          <w:rFonts w:ascii="Titillium" w:hAnsi="Titillium"/>
          <w:i/>
          <w:sz w:val="18"/>
          <w:szCs w:val="18"/>
        </w:rPr>
        <w:t xml:space="preserve"> 244 del 18 ottobre 2017); “Criteri ambientali minimi per l’affidamento di servizi energetici per gli edifici servizio di illuminazione e forza motrice servizio di riscaldamento/raffrescamento (d.m. 7 marzo 2012 - G.U. n.74 del 28 marzo 2012)</w:t>
      </w:r>
      <w:r w:rsidR="001D7F02">
        <w:rPr>
          <w:rFonts w:ascii="Titillium" w:hAnsi="Titillium"/>
          <w:i/>
          <w:sz w:val="18"/>
          <w:szCs w:val="18"/>
        </w:rPr>
        <w:t>.</w:t>
      </w:r>
    </w:p>
    <w:bookmarkEnd w:id="9"/>
    <w:p w14:paraId="6EB3038C" w14:textId="77777777" w:rsidR="00AF38A8" w:rsidRDefault="00AF38A8" w:rsidP="00BD1359">
      <w:pPr>
        <w:pStyle w:val="Normale1"/>
        <w:jc w:val="both"/>
        <w:rPr>
          <w:rFonts w:asciiTheme="minorHAnsi" w:hAnsiTheme="minorHAnsi" w:cstheme="minorHAnsi"/>
        </w:rPr>
      </w:pPr>
    </w:p>
    <w:p w14:paraId="3F4BDFEA" w14:textId="3E4DA6F6" w:rsidR="00BC7242" w:rsidRPr="00AF38A8" w:rsidRDefault="0060347B" w:rsidP="00BD1359">
      <w:pPr>
        <w:pStyle w:val="Normale1"/>
        <w:jc w:val="both"/>
        <w:rPr>
          <w:rFonts w:asciiTheme="minorHAnsi" w:hAnsiTheme="minorHAnsi" w:cstheme="minorHAnsi"/>
        </w:rPr>
      </w:pPr>
      <w:r w:rsidRPr="00AF38A8">
        <w:rPr>
          <w:rFonts w:asciiTheme="minorHAnsi" w:hAnsiTheme="minorHAnsi" w:cstheme="minorHAnsi"/>
        </w:rPr>
        <w:t xml:space="preserve">Con </w:t>
      </w:r>
      <w:r w:rsidR="00CB6205" w:rsidRPr="00AF38A8">
        <w:rPr>
          <w:rFonts w:asciiTheme="minorHAnsi" w:hAnsiTheme="minorHAnsi" w:cstheme="minorHAnsi"/>
        </w:rPr>
        <w:t>a</w:t>
      </w:r>
      <w:r w:rsidRPr="00AF38A8">
        <w:rPr>
          <w:rFonts w:asciiTheme="minorHAnsi" w:hAnsiTheme="minorHAnsi" w:cstheme="minorHAnsi"/>
        </w:rPr>
        <w:t>vviso pubblicato</w:t>
      </w:r>
      <w:r w:rsidR="005665F7" w:rsidRPr="00AF38A8">
        <w:rPr>
          <w:rFonts w:asciiTheme="minorHAnsi" w:hAnsiTheme="minorHAnsi" w:cstheme="minorHAnsi"/>
        </w:rPr>
        <w:t xml:space="preserve"> in data…</w:t>
      </w:r>
      <w:r w:rsidR="006816F4">
        <w:rPr>
          <w:rFonts w:asciiTheme="minorHAnsi" w:hAnsiTheme="minorHAnsi" w:cstheme="minorHAnsi"/>
        </w:rPr>
        <w:t>…</w:t>
      </w:r>
      <w:r w:rsidR="002035A3" w:rsidRPr="00AF38A8">
        <w:rPr>
          <w:rFonts w:asciiTheme="minorHAnsi" w:eastAsia="Times New Roman" w:hAnsiTheme="minorHAnsi" w:cstheme="minorHAnsi"/>
        </w:rPr>
        <w:t>[</w:t>
      </w:r>
      <w:r w:rsidR="002035A3" w:rsidRPr="00AF38A8">
        <w:rPr>
          <w:rFonts w:asciiTheme="minorHAnsi" w:eastAsia="Times New Roman" w:hAnsiTheme="minorHAnsi" w:cstheme="minorHAnsi"/>
          <w:i/>
        </w:rPr>
        <w:t>indicare</w:t>
      </w:r>
      <w:r w:rsidR="002035A3" w:rsidRPr="00AF38A8">
        <w:rPr>
          <w:rFonts w:asciiTheme="minorHAnsi" w:eastAsia="Times New Roman" w:hAnsiTheme="minorHAnsi" w:cstheme="minorHAnsi"/>
        </w:rPr>
        <w:t>]</w:t>
      </w:r>
      <w:r w:rsidR="005665F7" w:rsidRPr="00AF38A8">
        <w:rPr>
          <w:rFonts w:asciiTheme="minorHAnsi" w:hAnsiTheme="minorHAnsi" w:cstheme="minorHAnsi"/>
        </w:rPr>
        <w:t>,</w:t>
      </w:r>
      <w:r w:rsidRPr="00AF38A8">
        <w:rPr>
          <w:rFonts w:asciiTheme="minorHAnsi" w:hAnsiTheme="minorHAnsi" w:cstheme="minorHAnsi"/>
        </w:rPr>
        <w:t xml:space="preserve"> </w:t>
      </w:r>
      <w:r w:rsidR="005665F7" w:rsidRPr="00AF38A8">
        <w:rPr>
          <w:rFonts w:asciiTheme="minorHAnsi" w:hAnsiTheme="minorHAnsi" w:cstheme="minorHAnsi"/>
        </w:rPr>
        <w:t xml:space="preserve">ai sensi dell’art. 2 dell’Allegato II.1 al </w:t>
      </w:r>
      <w:r w:rsidR="00BA3D28" w:rsidRPr="00AF38A8">
        <w:rPr>
          <w:rFonts w:asciiTheme="minorHAnsi" w:eastAsia="Times New Roman" w:hAnsiTheme="minorHAnsi" w:cstheme="minorHAnsi"/>
        </w:rPr>
        <w:t xml:space="preserve">decreto legislativo 31 marzo 2023, n. </w:t>
      </w:r>
      <w:proofErr w:type="gramStart"/>
      <w:r w:rsidR="00BA3D28" w:rsidRPr="00AF38A8">
        <w:rPr>
          <w:rFonts w:asciiTheme="minorHAnsi" w:eastAsia="Times New Roman" w:hAnsiTheme="minorHAnsi" w:cstheme="minorHAnsi"/>
        </w:rPr>
        <w:t>36,  cd</w:t>
      </w:r>
      <w:proofErr w:type="gramEnd"/>
      <w:r w:rsidR="00BA3D28" w:rsidRPr="00AF38A8">
        <w:rPr>
          <w:rFonts w:asciiTheme="minorHAnsi" w:eastAsia="Times New Roman" w:hAnsiTheme="minorHAnsi" w:cstheme="minorHAnsi"/>
        </w:rPr>
        <w:t xml:space="preserve">. </w:t>
      </w:r>
      <w:r w:rsidR="005665F7" w:rsidRPr="00AF38A8">
        <w:rPr>
          <w:rFonts w:asciiTheme="minorHAnsi" w:eastAsia="Times New Roman" w:hAnsiTheme="minorHAnsi" w:cstheme="minorHAnsi"/>
        </w:rPr>
        <w:t>Codice dei contratti pubblici (in seguito: Codice)</w:t>
      </w:r>
      <w:r w:rsidR="005665F7" w:rsidRPr="00AF38A8">
        <w:rPr>
          <w:rFonts w:asciiTheme="minorHAnsi" w:hAnsiTheme="minorHAnsi" w:cstheme="minorHAnsi"/>
        </w:rPr>
        <w:t xml:space="preserve">, </w:t>
      </w:r>
      <w:r w:rsidRPr="00AF38A8">
        <w:rPr>
          <w:rFonts w:asciiTheme="minorHAnsi" w:hAnsiTheme="minorHAnsi" w:cstheme="minorHAnsi"/>
        </w:rPr>
        <w:t>sul sito istituzionale…</w:t>
      </w:r>
      <w:r w:rsidR="002035A3" w:rsidRPr="00AF38A8">
        <w:rPr>
          <w:rFonts w:asciiTheme="minorHAnsi" w:eastAsia="Times New Roman" w:hAnsiTheme="minorHAnsi" w:cstheme="minorHAnsi"/>
        </w:rPr>
        <w:t>[</w:t>
      </w:r>
      <w:r w:rsidR="002035A3" w:rsidRPr="00AF38A8">
        <w:rPr>
          <w:rFonts w:asciiTheme="minorHAnsi" w:eastAsia="Times New Roman" w:hAnsiTheme="minorHAnsi" w:cstheme="minorHAnsi"/>
          <w:i/>
        </w:rPr>
        <w:t>indicare</w:t>
      </w:r>
      <w:r w:rsidR="002035A3" w:rsidRPr="00AF38A8">
        <w:rPr>
          <w:rFonts w:asciiTheme="minorHAnsi" w:eastAsia="Times New Roman" w:hAnsiTheme="minorHAnsi" w:cstheme="minorHAnsi"/>
        </w:rPr>
        <w:t>]</w:t>
      </w:r>
      <w:r w:rsidRPr="00AF38A8">
        <w:rPr>
          <w:rFonts w:asciiTheme="minorHAnsi" w:hAnsiTheme="minorHAnsi" w:cstheme="minorHAnsi"/>
        </w:rPr>
        <w:t>, sulla Banca dati nazionale dei contratti pubblici dell’A</w:t>
      </w:r>
      <w:r w:rsidR="00CB6205" w:rsidRPr="00AF38A8">
        <w:rPr>
          <w:rFonts w:asciiTheme="minorHAnsi" w:hAnsiTheme="minorHAnsi" w:cstheme="minorHAnsi"/>
        </w:rPr>
        <w:t>NAC</w:t>
      </w:r>
      <w:r w:rsidRPr="00AF38A8">
        <w:rPr>
          <w:rFonts w:asciiTheme="minorHAnsi" w:hAnsiTheme="minorHAnsi" w:cstheme="minorHAnsi"/>
        </w:rPr>
        <w:t xml:space="preserve">, </w:t>
      </w:r>
      <w:r w:rsidR="005665F7" w:rsidRPr="00AF38A8">
        <w:rPr>
          <w:rFonts w:asciiTheme="minorHAnsi" w:hAnsiTheme="minorHAnsi" w:cstheme="minorHAnsi"/>
        </w:rPr>
        <w:t xml:space="preserve">e </w:t>
      </w:r>
      <w:r w:rsidRPr="00AF38A8">
        <w:rPr>
          <w:rFonts w:asciiTheme="minorHAnsi" w:hAnsiTheme="minorHAnsi" w:cstheme="minorHAnsi"/>
        </w:rPr>
        <w:t>presso la piattaforma……</w:t>
      </w:r>
      <w:r w:rsidR="002035A3" w:rsidRPr="00AF38A8">
        <w:rPr>
          <w:rFonts w:asciiTheme="minorHAnsi" w:eastAsia="Times New Roman" w:hAnsiTheme="minorHAnsi" w:cstheme="minorHAnsi"/>
        </w:rPr>
        <w:t>[</w:t>
      </w:r>
      <w:r w:rsidR="002035A3" w:rsidRPr="00AF38A8">
        <w:rPr>
          <w:rFonts w:asciiTheme="minorHAnsi" w:eastAsia="Times New Roman" w:hAnsiTheme="minorHAnsi" w:cstheme="minorHAnsi"/>
          <w:i/>
        </w:rPr>
        <w:t>indicare</w:t>
      </w:r>
      <w:r w:rsidR="002035A3" w:rsidRPr="00AF38A8">
        <w:rPr>
          <w:rFonts w:asciiTheme="minorHAnsi" w:eastAsia="Times New Roman" w:hAnsiTheme="minorHAnsi" w:cstheme="minorHAnsi"/>
        </w:rPr>
        <w:t>]</w:t>
      </w:r>
      <w:r w:rsidRPr="00AF38A8">
        <w:rPr>
          <w:rFonts w:asciiTheme="minorHAnsi" w:hAnsiTheme="minorHAnsi" w:cstheme="minorHAnsi"/>
        </w:rPr>
        <w:t xml:space="preserve">, la stazione appaltante ha inteso acquisire le manifestazioni di interesse degli operatori economici interessati ad essere invitati alla procedura negoziata senza pubblicazione di bando di gara ex art. 50 comma 1 lett. e) del </w:t>
      </w:r>
      <w:r w:rsidR="005665F7" w:rsidRPr="00AF38A8">
        <w:rPr>
          <w:rFonts w:asciiTheme="minorHAnsi" w:hAnsiTheme="minorHAnsi" w:cstheme="minorHAnsi"/>
        </w:rPr>
        <w:t>Codice</w:t>
      </w:r>
      <w:r w:rsidRPr="00AF38A8">
        <w:rPr>
          <w:rFonts w:asciiTheme="minorHAnsi" w:hAnsiTheme="minorHAnsi" w:cstheme="minorHAnsi"/>
        </w:rPr>
        <w:t>, per l’affidamento dei servizi</w:t>
      </w:r>
      <w:r w:rsidR="00BC7242" w:rsidRPr="00AF38A8">
        <w:rPr>
          <w:rFonts w:asciiTheme="minorHAnsi" w:hAnsiTheme="minorHAnsi" w:cstheme="minorHAnsi"/>
        </w:rPr>
        <w:t>…………………….</w:t>
      </w:r>
    </w:p>
    <w:p w14:paraId="5CD9E800" w14:textId="77777777" w:rsidR="00BC7242" w:rsidRPr="00AF38A8" w:rsidRDefault="0060347B" w:rsidP="00BD1359">
      <w:pPr>
        <w:pStyle w:val="Normale1"/>
        <w:jc w:val="both"/>
        <w:rPr>
          <w:rFonts w:asciiTheme="minorHAnsi" w:hAnsiTheme="minorHAnsi" w:cstheme="minorHAnsi"/>
        </w:rPr>
      </w:pPr>
      <w:r w:rsidRPr="00AF38A8">
        <w:rPr>
          <w:rFonts w:asciiTheme="minorHAnsi" w:hAnsiTheme="minorHAnsi" w:cstheme="minorHAnsi"/>
        </w:rPr>
        <w:t>Con verbale n</w:t>
      </w:r>
      <w:r w:rsidR="002035A3" w:rsidRPr="00AF38A8">
        <w:rPr>
          <w:rFonts w:asciiTheme="minorHAnsi" w:hAnsiTheme="minorHAnsi" w:cstheme="minorHAnsi"/>
        </w:rPr>
        <w:t xml:space="preserve">…. </w:t>
      </w:r>
      <w:r w:rsidRPr="00AF38A8">
        <w:rPr>
          <w:rFonts w:asciiTheme="minorHAnsi" w:hAnsiTheme="minorHAnsi" w:cstheme="minorHAnsi"/>
        </w:rPr>
        <w:t xml:space="preserve">del </w:t>
      </w:r>
      <w:r w:rsidR="00BC7242" w:rsidRPr="00AF38A8">
        <w:rPr>
          <w:rFonts w:asciiTheme="minorHAnsi" w:hAnsiTheme="minorHAnsi" w:cstheme="minorHAnsi"/>
        </w:rPr>
        <w:t>………</w:t>
      </w:r>
      <w:r w:rsidR="002035A3" w:rsidRPr="00AF38A8">
        <w:rPr>
          <w:rFonts w:asciiTheme="minorHAnsi" w:eastAsia="Times New Roman" w:hAnsiTheme="minorHAnsi" w:cstheme="minorHAnsi"/>
        </w:rPr>
        <w:t>[</w:t>
      </w:r>
      <w:r w:rsidR="002035A3" w:rsidRPr="00AF38A8">
        <w:rPr>
          <w:rFonts w:asciiTheme="minorHAnsi" w:eastAsia="Times New Roman" w:hAnsiTheme="minorHAnsi" w:cstheme="minorHAnsi"/>
          <w:i/>
        </w:rPr>
        <w:t>indicare</w:t>
      </w:r>
      <w:r w:rsidR="002035A3" w:rsidRPr="00AF38A8">
        <w:rPr>
          <w:rFonts w:asciiTheme="minorHAnsi" w:eastAsia="Times New Roman" w:hAnsiTheme="minorHAnsi" w:cstheme="minorHAnsi"/>
        </w:rPr>
        <w:t>]</w:t>
      </w:r>
      <w:r w:rsidR="002035A3" w:rsidRPr="00AF38A8">
        <w:rPr>
          <w:rFonts w:asciiTheme="minorHAnsi" w:hAnsiTheme="minorHAnsi" w:cstheme="minorHAnsi"/>
        </w:rPr>
        <w:t xml:space="preserve"> </w:t>
      </w:r>
      <w:r w:rsidR="00BC7242" w:rsidRPr="00AF38A8">
        <w:rPr>
          <w:rFonts w:asciiTheme="minorHAnsi" w:hAnsiTheme="minorHAnsi" w:cstheme="minorHAnsi"/>
        </w:rPr>
        <w:t>la stazione appaltante</w:t>
      </w:r>
      <w:r w:rsidRPr="00AF38A8">
        <w:rPr>
          <w:rFonts w:asciiTheme="minorHAnsi" w:hAnsiTheme="minorHAnsi" w:cstheme="minorHAnsi"/>
        </w:rPr>
        <w:t xml:space="preserve">, </w:t>
      </w:r>
      <w:r w:rsidR="00BC7242" w:rsidRPr="00AF38A8">
        <w:rPr>
          <w:rFonts w:asciiTheme="minorHAnsi" w:hAnsiTheme="minorHAnsi" w:cstheme="minorHAnsi"/>
        </w:rPr>
        <w:t>in applicazione dei criteri di selezione previsti nella decisione di contrar</w:t>
      </w:r>
      <w:r w:rsidR="00E47545" w:rsidRPr="00AF38A8">
        <w:rPr>
          <w:rFonts w:asciiTheme="minorHAnsi" w:hAnsiTheme="minorHAnsi" w:cstheme="minorHAnsi"/>
        </w:rPr>
        <w:t>r</w:t>
      </w:r>
      <w:r w:rsidR="00BC7242" w:rsidRPr="00AF38A8">
        <w:rPr>
          <w:rFonts w:asciiTheme="minorHAnsi" w:hAnsiTheme="minorHAnsi" w:cstheme="minorHAnsi"/>
        </w:rPr>
        <w:t>e e nell’avviso di manifestazione di interesse</w:t>
      </w:r>
      <w:r w:rsidRPr="00AF38A8">
        <w:rPr>
          <w:rFonts w:asciiTheme="minorHAnsi" w:hAnsiTheme="minorHAnsi" w:cstheme="minorHAnsi"/>
        </w:rPr>
        <w:t xml:space="preserve">, </w:t>
      </w:r>
      <w:r w:rsidR="00BC7242" w:rsidRPr="00AF38A8">
        <w:rPr>
          <w:rFonts w:asciiTheme="minorHAnsi" w:hAnsiTheme="minorHAnsi" w:cstheme="minorHAnsi"/>
        </w:rPr>
        <w:t xml:space="preserve">ha individuato </w:t>
      </w:r>
      <w:r w:rsidRPr="00AF38A8">
        <w:rPr>
          <w:rFonts w:asciiTheme="minorHAnsi" w:hAnsiTheme="minorHAnsi" w:cstheme="minorHAnsi"/>
        </w:rPr>
        <w:t xml:space="preserve">gli operatori economici da invitare alla procedura negoziata, ai sensi </w:t>
      </w:r>
      <w:r w:rsidR="00BC7242" w:rsidRPr="00AF38A8">
        <w:rPr>
          <w:rFonts w:asciiTheme="minorHAnsi" w:hAnsiTheme="minorHAnsi" w:cstheme="minorHAnsi"/>
        </w:rPr>
        <w:t>dell’art. 50 comma 1 lett. e) del</w:t>
      </w:r>
      <w:r w:rsidR="005665F7" w:rsidRPr="00AF38A8">
        <w:rPr>
          <w:rFonts w:asciiTheme="minorHAnsi" w:hAnsiTheme="minorHAnsi" w:cstheme="minorHAnsi"/>
        </w:rPr>
        <w:t xml:space="preserve"> Codice</w:t>
      </w:r>
      <w:r w:rsidR="00BC7242" w:rsidRPr="00AF38A8">
        <w:rPr>
          <w:rFonts w:asciiTheme="minorHAnsi" w:hAnsiTheme="minorHAnsi" w:cstheme="minorHAnsi"/>
        </w:rPr>
        <w:t>.</w:t>
      </w:r>
      <w:r w:rsidR="006010A5" w:rsidRPr="00AF38A8">
        <w:rPr>
          <w:rFonts w:asciiTheme="minorHAnsi" w:hAnsiTheme="minorHAnsi" w:cstheme="minorHAnsi"/>
        </w:rPr>
        <w:t xml:space="preserve"> In particolare, [</w:t>
      </w:r>
      <w:r w:rsidR="006010A5" w:rsidRPr="00AF38A8">
        <w:rPr>
          <w:rFonts w:asciiTheme="minorHAnsi" w:hAnsiTheme="minorHAnsi" w:cstheme="minorHAnsi"/>
          <w:i/>
        </w:rPr>
        <w:t>specificare le modalità seguite per la scelta degli oo.ee].</w:t>
      </w:r>
    </w:p>
    <w:p w14:paraId="2EA63998" w14:textId="77777777" w:rsidR="00BC7242" w:rsidRPr="00AF38A8" w:rsidRDefault="0060347B" w:rsidP="00BD1359">
      <w:pPr>
        <w:pStyle w:val="Normale1"/>
        <w:jc w:val="both"/>
        <w:rPr>
          <w:rFonts w:asciiTheme="minorHAnsi" w:hAnsiTheme="minorHAnsi" w:cstheme="minorHAnsi"/>
        </w:rPr>
      </w:pPr>
      <w:r w:rsidRPr="00AF38A8">
        <w:rPr>
          <w:rFonts w:asciiTheme="minorHAnsi" w:hAnsiTheme="minorHAnsi" w:cstheme="minorHAnsi"/>
        </w:rPr>
        <w:t>L’operatore economico in indirizzo risulta tra i soggetti selezionati.</w:t>
      </w:r>
    </w:p>
    <w:p w14:paraId="60B75CE5" w14:textId="2DD5866C" w:rsidR="0076366E" w:rsidRPr="00AF38A8" w:rsidRDefault="00BA3D28"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 xml:space="preserve">L’affidamento avviene mediante procedura </w:t>
      </w:r>
      <w:r w:rsidR="00BC7242" w:rsidRPr="00AF38A8">
        <w:rPr>
          <w:rFonts w:asciiTheme="minorHAnsi" w:eastAsia="Times New Roman" w:hAnsiTheme="minorHAnsi" w:cstheme="minorHAnsi"/>
          <w:sz w:val="24"/>
          <w:szCs w:val="24"/>
        </w:rPr>
        <w:t>negoziata</w:t>
      </w:r>
      <w:r w:rsidRPr="00AF38A8">
        <w:rPr>
          <w:rFonts w:asciiTheme="minorHAnsi" w:eastAsia="Times New Roman" w:hAnsiTheme="minorHAnsi" w:cstheme="minorHAnsi"/>
          <w:sz w:val="24"/>
          <w:szCs w:val="24"/>
        </w:rPr>
        <w:t xml:space="preserve"> con applicazione del criterio dell’offerta economicamente più vantaggiosa</w:t>
      </w:r>
      <w:r w:rsidR="00792399">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individuata sulla base del miglior rapporto qualità prezzo, ai sensi degli </w:t>
      </w:r>
      <w:r w:rsidR="00792399">
        <w:rPr>
          <w:rFonts w:asciiTheme="minorHAnsi" w:eastAsia="Times New Roman" w:hAnsiTheme="minorHAnsi" w:cstheme="minorHAnsi"/>
          <w:sz w:val="24"/>
          <w:szCs w:val="24"/>
        </w:rPr>
        <w:t>articoli</w:t>
      </w:r>
      <w:r w:rsidRPr="00AF38A8">
        <w:rPr>
          <w:rFonts w:asciiTheme="minorHAnsi" w:eastAsia="Times New Roman" w:hAnsiTheme="minorHAnsi" w:cstheme="minorHAnsi"/>
          <w:sz w:val="24"/>
          <w:szCs w:val="24"/>
        </w:rPr>
        <w:t xml:space="preserve"> </w:t>
      </w:r>
      <w:r w:rsidR="00BC7242" w:rsidRPr="00AF38A8">
        <w:rPr>
          <w:rFonts w:asciiTheme="minorHAnsi" w:eastAsia="Times New Roman" w:hAnsiTheme="minorHAnsi" w:cstheme="minorHAnsi"/>
          <w:sz w:val="24"/>
          <w:szCs w:val="24"/>
        </w:rPr>
        <w:t>50</w:t>
      </w:r>
      <w:r w:rsidR="00792399">
        <w:rPr>
          <w:rFonts w:asciiTheme="minorHAnsi" w:eastAsia="Times New Roman" w:hAnsiTheme="minorHAnsi" w:cstheme="minorHAnsi"/>
          <w:sz w:val="24"/>
          <w:szCs w:val="24"/>
        </w:rPr>
        <w:t>,</w:t>
      </w:r>
      <w:r w:rsidR="00BC7242" w:rsidRPr="00AF38A8">
        <w:rPr>
          <w:rFonts w:asciiTheme="minorHAnsi" w:eastAsia="Times New Roman" w:hAnsiTheme="minorHAnsi" w:cstheme="minorHAnsi"/>
          <w:sz w:val="24"/>
          <w:szCs w:val="24"/>
        </w:rPr>
        <w:t xml:space="preserve"> comma 1</w:t>
      </w:r>
      <w:r w:rsidR="00792399">
        <w:rPr>
          <w:rFonts w:asciiTheme="minorHAnsi" w:eastAsia="Times New Roman" w:hAnsiTheme="minorHAnsi" w:cstheme="minorHAnsi"/>
          <w:sz w:val="24"/>
          <w:szCs w:val="24"/>
        </w:rPr>
        <w:t>,</w:t>
      </w:r>
      <w:r w:rsidR="00BC7242" w:rsidRPr="00AF38A8">
        <w:rPr>
          <w:rFonts w:asciiTheme="minorHAnsi" w:eastAsia="Times New Roman" w:hAnsiTheme="minorHAnsi" w:cstheme="minorHAnsi"/>
          <w:sz w:val="24"/>
          <w:szCs w:val="24"/>
        </w:rPr>
        <w:t xml:space="preserve"> lett. e</w:t>
      </w:r>
      <w:r w:rsidRPr="00AF38A8">
        <w:rPr>
          <w:rFonts w:asciiTheme="minorHAnsi" w:eastAsia="Times New Roman" w:hAnsiTheme="minorHAnsi" w:cstheme="minorHAnsi"/>
          <w:sz w:val="24"/>
          <w:szCs w:val="24"/>
        </w:rPr>
        <w:t>)</w:t>
      </w:r>
      <w:r w:rsidR="00792399">
        <w:rPr>
          <w:rFonts w:asciiTheme="minorHAnsi" w:eastAsia="Times New Roman" w:hAnsiTheme="minorHAnsi" w:cstheme="minorHAnsi"/>
          <w:sz w:val="24"/>
          <w:szCs w:val="24"/>
        </w:rPr>
        <w:t xml:space="preserve"> e</w:t>
      </w:r>
      <w:r w:rsidRPr="00AF38A8">
        <w:rPr>
          <w:rFonts w:asciiTheme="minorHAnsi" w:eastAsia="Times New Roman" w:hAnsiTheme="minorHAnsi" w:cstheme="minorHAnsi"/>
          <w:sz w:val="24"/>
          <w:szCs w:val="24"/>
        </w:rPr>
        <w:t xml:space="preserve"> 108</w:t>
      </w:r>
      <w:r w:rsidR="00792399">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2, lett. b) del Codice</w:t>
      </w:r>
      <w:r w:rsidR="005665F7" w:rsidRPr="00AF38A8">
        <w:rPr>
          <w:rFonts w:asciiTheme="minorHAnsi" w:eastAsia="Times New Roman" w:hAnsiTheme="minorHAnsi" w:cstheme="minorHAnsi"/>
          <w:sz w:val="24"/>
          <w:szCs w:val="24"/>
        </w:rPr>
        <w:t xml:space="preserve">, </w:t>
      </w:r>
      <w:r w:rsidR="00BC7242" w:rsidRPr="00AF38A8">
        <w:rPr>
          <w:rFonts w:asciiTheme="minorHAnsi" w:eastAsia="Times New Roman" w:hAnsiTheme="minorHAnsi" w:cstheme="minorHAnsi"/>
          <w:sz w:val="24"/>
          <w:szCs w:val="24"/>
        </w:rPr>
        <w:t>nonché nel rispetto</w:t>
      </w:r>
      <w:r w:rsidRPr="00AF38A8">
        <w:rPr>
          <w:rFonts w:asciiTheme="minorHAnsi" w:eastAsia="Times New Roman" w:hAnsiTheme="minorHAnsi" w:cstheme="minorHAnsi"/>
          <w:sz w:val="24"/>
          <w:szCs w:val="24"/>
        </w:rPr>
        <w:t xml:space="preserve"> dei </w:t>
      </w:r>
      <w:r w:rsidR="00BC7242" w:rsidRPr="00AF38A8">
        <w:rPr>
          <w:rFonts w:asciiTheme="minorHAnsi" w:eastAsia="Times New Roman" w:hAnsiTheme="minorHAnsi" w:cstheme="minorHAnsi"/>
          <w:sz w:val="24"/>
          <w:szCs w:val="24"/>
        </w:rPr>
        <w:t>principi e delle disposizioni di cui alla Parte I del Libro II del predetto</w:t>
      </w:r>
      <w:r w:rsidRPr="00AF38A8">
        <w:rPr>
          <w:rFonts w:asciiTheme="minorHAnsi" w:eastAsia="Times New Roman" w:hAnsiTheme="minorHAnsi" w:cstheme="minorHAnsi"/>
          <w:sz w:val="24"/>
          <w:szCs w:val="24"/>
        </w:rPr>
        <w:t xml:space="preserve"> Codice</w:t>
      </w:r>
      <w:r w:rsidR="00BC7242" w:rsidRPr="00AF38A8">
        <w:rPr>
          <w:rFonts w:asciiTheme="minorHAnsi" w:eastAsia="Times New Roman" w:hAnsiTheme="minorHAnsi" w:cstheme="minorHAnsi"/>
          <w:sz w:val="24"/>
          <w:szCs w:val="24"/>
        </w:rPr>
        <w:t>.</w:t>
      </w:r>
    </w:p>
    <w:p w14:paraId="06EFF735" w14:textId="1EC1710F" w:rsidR="00BC7242" w:rsidRPr="00AF38A8" w:rsidRDefault="00BC7242"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presente procedura negoziata è interamente svolta tramite la piattaforma telematica accessibile all’indirizzo www … [</w:t>
      </w:r>
      <w:r w:rsidRPr="00AF38A8">
        <w:rPr>
          <w:rFonts w:asciiTheme="minorHAnsi" w:eastAsia="Times New Roman" w:hAnsiTheme="minorHAnsi" w:cstheme="minorHAnsi"/>
          <w:i/>
          <w:sz w:val="24"/>
          <w:szCs w:val="24"/>
        </w:rPr>
        <w:t>indicare</w:t>
      </w:r>
      <w:r w:rsidRPr="00AF38A8">
        <w:rPr>
          <w:rFonts w:asciiTheme="minorHAnsi" w:eastAsia="Times New Roman" w:hAnsiTheme="minorHAnsi" w:cstheme="minorHAnsi"/>
          <w:sz w:val="24"/>
          <w:szCs w:val="24"/>
        </w:rPr>
        <w:t>]</w:t>
      </w:r>
    </w:p>
    <w:p w14:paraId="6DF7913F" w14:textId="2635ACC6" w:rsidR="0076366E" w:rsidRPr="00AF38A8" w:rsidRDefault="00BA3D28"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La durata della procedura è prevista pari a </w:t>
      </w:r>
      <w:r w:rsidR="002035A3" w:rsidRPr="00AF38A8">
        <w:rPr>
          <w:rFonts w:asciiTheme="minorHAnsi" w:eastAsia="Times New Roman" w:hAnsiTheme="minorHAnsi" w:cstheme="minorHAnsi"/>
          <w:sz w:val="24"/>
          <w:szCs w:val="24"/>
        </w:rPr>
        <w:t>….[</w:t>
      </w:r>
      <w:r w:rsidR="002035A3" w:rsidRPr="00AF38A8">
        <w:rPr>
          <w:rFonts w:asciiTheme="minorHAnsi" w:eastAsia="Times New Roman" w:hAnsiTheme="minorHAnsi" w:cstheme="minorHAnsi"/>
          <w:i/>
          <w:sz w:val="24"/>
          <w:szCs w:val="24"/>
        </w:rPr>
        <w:t>indicare</w:t>
      </w:r>
      <w:r w:rsidR="002035A3" w:rsidRPr="00AF38A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mesi dalla pubblicazione del bando [</w:t>
      </w:r>
      <w:r w:rsidRPr="00AF38A8">
        <w:rPr>
          <w:rFonts w:asciiTheme="minorHAnsi" w:eastAsia="Times New Roman" w:hAnsiTheme="minorHAnsi" w:cstheme="minorHAnsi"/>
          <w:i/>
          <w:sz w:val="24"/>
          <w:szCs w:val="24"/>
        </w:rPr>
        <w:t xml:space="preserve">il termine massimo è di </w:t>
      </w:r>
      <w:r w:rsidR="00BC7242" w:rsidRPr="00AF38A8">
        <w:rPr>
          <w:rFonts w:asciiTheme="minorHAnsi" w:eastAsia="Times New Roman" w:hAnsiTheme="minorHAnsi" w:cstheme="minorHAnsi"/>
          <w:sz w:val="24"/>
          <w:szCs w:val="24"/>
        </w:rPr>
        <w:t>4</w:t>
      </w:r>
      <w:r w:rsidRPr="00AF38A8">
        <w:rPr>
          <w:rFonts w:asciiTheme="minorHAnsi" w:eastAsia="Times New Roman" w:hAnsiTheme="minorHAnsi" w:cstheme="minorHAnsi"/>
          <w:i/>
          <w:sz w:val="24"/>
          <w:szCs w:val="24"/>
        </w:rPr>
        <w:t xml:space="preserve"> mesi</w:t>
      </w:r>
      <w:r w:rsidR="00BC7242"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i/>
          <w:sz w:val="24"/>
          <w:szCs w:val="24"/>
        </w:rPr>
        <w:t xml:space="preserve"> salvo ipotesi di proroga</w:t>
      </w:r>
      <w:r w:rsidR="00BC7242" w:rsidRPr="00AF38A8">
        <w:rPr>
          <w:rFonts w:asciiTheme="minorHAnsi" w:eastAsia="Times New Roman" w:hAnsiTheme="minorHAnsi" w:cstheme="minorHAnsi"/>
          <w:sz w:val="24"/>
          <w:szCs w:val="24"/>
        </w:rPr>
        <w:t>]</w:t>
      </w:r>
      <w:r w:rsidR="00792399">
        <w:rPr>
          <w:rFonts w:asciiTheme="minorHAnsi" w:eastAsia="Times New Roman" w:hAnsiTheme="minorHAnsi" w:cstheme="minorHAnsi"/>
          <w:sz w:val="24"/>
          <w:szCs w:val="24"/>
        </w:rPr>
        <w:t>.</w:t>
      </w:r>
      <w:r w:rsidR="00BC7242" w:rsidRPr="00AF38A8">
        <w:rPr>
          <w:rFonts w:asciiTheme="minorHAnsi" w:eastAsia="Times New Roman" w:hAnsiTheme="minorHAnsi" w:cstheme="minorHAnsi"/>
          <w:sz w:val="24"/>
          <w:szCs w:val="24"/>
        </w:rPr>
        <w:t xml:space="preserve"> </w:t>
      </w:r>
    </w:p>
    <w:p w14:paraId="1DF785BA" w14:textId="67098120" w:rsidR="004A6C14" w:rsidRPr="00AF38A8" w:rsidRDefault="00562536"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presente affidamento, in ragione dell’importo inferiore alla soglia di rilievo europeo di cui all’art. 14 del Codice, non è sottoposto al controllo preventivo di legittimità da parte dell’Autorità Nazionale Anticorruzione (ANAC), ai sensi dell’articolo 3 del vigente Accordo per l’esercizio dei compiti di alta sorveglianza e di garanzia della correttezza e della trasparenza delle procedure connesse alla ricostruzione pubblica post-sisma Italia centrale, </w:t>
      </w:r>
      <w:r w:rsidR="00792399" w:rsidRPr="00792399">
        <w:rPr>
          <w:rFonts w:asciiTheme="minorHAnsi" w:eastAsia="Times New Roman" w:hAnsiTheme="minorHAnsi" w:cstheme="minorHAnsi"/>
          <w:sz w:val="24"/>
          <w:szCs w:val="24"/>
        </w:rPr>
        <w:t>fermi restando i poteri di vigilanza, segnalazione e sanzionatori istituzionalmente attribuiti all’ANAC dalla normativa vigente, nonché l’eventuale controllo a campione che l’ANAC può disporre ai sensi dell’art. 4 del citato Accordo</w:t>
      </w:r>
      <w:r w:rsidRPr="00AF38A8">
        <w:rPr>
          <w:rFonts w:asciiTheme="minorHAnsi" w:eastAsia="Times New Roman" w:hAnsiTheme="minorHAnsi" w:cstheme="minorHAnsi"/>
          <w:sz w:val="24"/>
          <w:szCs w:val="24"/>
        </w:rPr>
        <w:t>.</w:t>
      </w:r>
    </w:p>
    <w:p w14:paraId="3BD1EE3D" w14:textId="77777777" w:rsidR="0060347B" w:rsidRPr="00AF38A8" w:rsidRDefault="0060347B" w:rsidP="00BD1359">
      <w:pPr>
        <w:pStyle w:val="Normale1"/>
        <w:jc w:val="both"/>
        <w:rPr>
          <w:rFonts w:asciiTheme="minorHAnsi" w:hAnsiTheme="minorHAnsi" w:cstheme="minorHAnsi"/>
        </w:rPr>
      </w:pPr>
      <w:r w:rsidRPr="00AF38A8">
        <w:rPr>
          <w:rFonts w:asciiTheme="minorHAnsi" w:hAnsiTheme="minorHAnsi" w:cstheme="minorHAnsi"/>
        </w:rPr>
        <w:t xml:space="preserve">Tanto premesso </w:t>
      </w:r>
      <w:r w:rsidR="005665F7" w:rsidRPr="00AF38A8">
        <w:rPr>
          <w:rFonts w:asciiTheme="minorHAnsi" w:hAnsiTheme="minorHAnsi" w:cstheme="minorHAnsi"/>
        </w:rPr>
        <w:t>la stazione appaltante</w:t>
      </w:r>
    </w:p>
    <w:p w14:paraId="3959B76D" w14:textId="7E3E2A4E" w:rsidR="0060347B" w:rsidRPr="00AF38A8" w:rsidRDefault="00EB499B" w:rsidP="00BD1359">
      <w:pPr>
        <w:pStyle w:val="Normale1"/>
        <w:jc w:val="center"/>
        <w:rPr>
          <w:rFonts w:asciiTheme="minorHAnsi" w:hAnsiTheme="minorHAnsi" w:cstheme="minorHAnsi"/>
          <w:b/>
          <w:bCs/>
          <w:u w:val="single"/>
        </w:rPr>
      </w:pPr>
      <w:r w:rsidRPr="00AF38A8">
        <w:rPr>
          <w:rFonts w:asciiTheme="minorHAnsi" w:hAnsiTheme="minorHAnsi" w:cstheme="minorHAnsi"/>
          <w:b/>
          <w:bCs/>
          <w:u w:val="single"/>
        </w:rPr>
        <w:t>INVITA</w:t>
      </w:r>
    </w:p>
    <w:p w14:paraId="2F1AE812" w14:textId="76AAA632" w:rsidR="0076366E" w:rsidRPr="00443EB5" w:rsidRDefault="00562536" w:rsidP="00BD1359">
      <w:pPr>
        <w:pStyle w:val="Normale1"/>
        <w:jc w:val="both"/>
        <w:rPr>
          <w:rFonts w:asciiTheme="minorHAnsi" w:hAnsiTheme="minorHAnsi" w:cstheme="minorHAnsi"/>
        </w:rPr>
      </w:pPr>
      <w:r w:rsidRPr="00AF38A8">
        <w:rPr>
          <w:rFonts w:asciiTheme="minorHAnsi" w:hAnsiTheme="minorHAnsi" w:cstheme="minorHAnsi"/>
        </w:rPr>
        <w:t xml:space="preserve">codesto </w:t>
      </w:r>
      <w:r w:rsidR="0060347B" w:rsidRPr="00AF38A8">
        <w:rPr>
          <w:rFonts w:asciiTheme="minorHAnsi" w:hAnsiTheme="minorHAnsi" w:cstheme="minorHAnsi"/>
        </w:rPr>
        <w:t>Operatore Economico a formulare la propria migliore offerta per l’esecuzione dell’appalto di seguito descritto.</w:t>
      </w:r>
    </w:p>
    <w:p w14:paraId="3645C04C" w14:textId="77777777" w:rsidR="0076366E" w:rsidRPr="00AF38A8" w:rsidRDefault="00BA3D28"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Luogo di esecuzione .......................................[codice NUTS</w:t>
      </w:r>
      <w:r w:rsidRPr="00AF38A8">
        <w:rPr>
          <w:rFonts w:asciiTheme="minorHAnsi" w:eastAsia="Times New Roman" w:hAnsiTheme="minorHAnsi" w:cstheme="minorHAnsi"/>
          <w:sz w:val="24"/>
          <w:szCs w:val="24"/>
        </w:rPr>
        <w:tab/>
        <w:t xml:space="preserve">] </w:t>
      </w:r>
    </w:p>
    <w:p w14:paraId="2CEF0192" w14:textId="77777777" w:rsidR="0076366E" w:rsidRPr="00AF38A8" w:rsidRDefault="00BA3D28"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CIG………………………… CUI ….……….. CUP</w:t>
      </w:r>
    </w:p>
    <w:p w14:paraId="681C0F56" w14:textId="77777777" w:rsidR="0076366E" w:rsidRPr="00AF38A8" w:rsidRDefault="00BA3D28" w:rsidP="00BD1359">
      <w:pP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[indicare solo se obbligatorio]</w:t>
      </w:r>
    </w:p>
    <w:p w14:paraId="17853328" w14:textId="77777777" w:rsidR="0076366E" w:rsidRPr="00AF38A8" w:rsidRDefault="00BA3D28" w:rsidP="00BD1359">
      <w:pPr>
        <w:tabs>
          <w:tab w:val="left" w:pos="3078"/>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b/>
          <w:i/>
          <w:sz w:val="24"/>
          <w:szCs w:val="24"/>
        </w:rPr>
        <w:t>[In caso di suddivisione in lotti del servizio</w:t>
      </w:r>
      <w:r w:rsidRPr="00AF38A8">
        <w:rPr>
          <w:rFonts w:asciiTheme="minorHAnsi" w:eastAsia="Times New Roman" w:hAnsiTheme="minorHAnsi" w:cstheme="minorHAnsi"/>
          <w:sz w:val="24"/>
          <w:szCs w:val="24"/>
        </w:rPr>
        <w:t>]</w:t>
      </w:r>
    </w:p>
    <w:p w14:paraId="6C0841FF" w14:textId="77777777" w:rsidR="0076366E" w:rsidRPr="00AF38A8" w:rsidRDefault="00BA3D28" w:rsidP="00BD1359">
      <w:pP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sz w:val="24"/>
          <w:szCs w:val="24"/>
        </w:rPr>
        <w:t xml:space="preserve">lotto 1 NUTS ............... CIG ........................ CUI …………….. CUP…………………. </w:t>
      </w:r>
      <w:r w:rsidRPr="00AF38A8">
        <w:rPr>
          <w:rFonts w:asciiTheme="minorHAnsi" w:eastAsia="Times New Roman" w:hAnsiTheme="minorHAnsi" w:cstheme="minorHAnsi"/>
          <w:i/>
          <w:sz w:val="24"/>
          <w:szCs w:val="24"/>
        </w:rPr>
        <w:t>[indicare solo se obbligatorio]</w:t>
      </w:r>
    </w:p>
    <w:p w14:paraId="13D8C3E2" w14:textId="77777777" w:rsidR="0076366E" w:rsidRPr="00AF38A8" w:rsidRDefault="00BA3D28"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lotto 2 NUTS............... CIG ........................ CUI …………….. CUP……………………[</w:t>
      </w:r>
      <w:r w:rsidRPr="00AF38A8">
        <w:rPr>
          <w:rFonts w:asciiTheme="minorHAnsi" w:eastAsia="Times New Roman" w:hAnsiTheme="minorHAnsi" w:cstheme="minorHAnsi"/>
          <w:i/>
          <w:sz w:val="24"/>
          <w:szCs w:val="24"/>
        </w:rPr>
        <w:t>indicare solo se obbligatorio</w:t>
      </w:r>
      <w:r w:rsidRPr="00AF38A8">
        <w:rPr>
          <w:rFonts w:asciiTheme="minorHAnsi" w:eastAsia="Times New Roman" w:hAnsiTheme="minorHAnsi" w:cstheme="minorHAnsi"/>
          <w:sz w:val="24"/>
          <w:szCs w:val="24"/>
        </w:rPr>
        <w:t>]</w:t>
      </w:r>
    </w:p>
    <w:p w14:paraId="7DDF6C78" w14:textId="77777777" w:rsidR="0076366E" w:rsidRPr="00AF38A8" w:rsidRDefault="00BA3D28"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w:t>
      </w:r>
      <w:r w:rsidRPr="00AF38A8">
        <w:rPr>
          <w:rFonts w:asciiTheme="minorHAnsi" w:eastAsia="Times New Roman" w:hAnsiTheme="minorHAnsi" w:cstheme="minorHAnsi"/>
          <w:b/>
          <w:sz w:val="24"/>
          <w:szCs w:val="24"/>
        </w:rPr>
        <w:t>Responsabile unico del progetto</w:t>
      </w:r>
      <w:r w:rsidRPr="00AF38A8">
        <w:rPr>
          <w:rFonts w:asciiTheme="minorHAnsi" w:eastAsia="Times New Roman" w:hAnsiTheme="minorHAnsi" w:cstheme="minorHAnsi"/>
          <w:sz w:val="24"/>
          <w:szCs w:val="24"/>
        </w:rPr>
        <w:t xml:space="preserve"> ai sensi dell’art. 15 del Codice, è</w:t>
      </w:r>
      <w:r w:rsidRPr="00AF38A8">
        <w:rPr>
          <w:rFonts w:asciiTheme="minorHAnsi" w:eastAsia="Times New Roman" w:hAnsiTheme="minorHAnsi" w:cstheme="minorHAnsi"/>
          <w:sz w:val="24"/>
          <w:szCs w:val="24"/>
        </w:rPr>
        <w:tab/>
        <w:t>[indicare nome e cognome e indirizzo e-mail].</w:t>
      </w:r>
    </w:p>
    <w:p w14:paraId="7F5140B6" w14:textId="31E9E3C7" w:rsidR="0076366E" w:rsidRDefault="00BA3D28"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w:t>
      </w:r>
      <w:r w:rsidRPr="00AF38A8">
        <w:rPr>
          <w:rFonts w:asciiTheme="minorHAnsi" w:eastAsia="Times New Roman" w:hAnsiTheme="minorHAnsi" w:cstheme="minorHAnsi"/>
          <w:b/>
          <w:sz w:val="24"/>
          <w:szCs w:val="24"/>
        </w:rPr>
        <w:t>Responsabile per la fase di affidamento</w:t>
      </w:r>
      <w:r w:rsidRPr="00AF38A8">
        <w:rPr>
          <w:rFonts w:asciiTheme="minorHAnsi" w:eastAsia="Times New Roman" w:hAnsiTheme="minorHAnsi" w:cstheme="minorHAnsi"/>
          <w:sz w:val="24"/>
          <w:szCs w:val="24"/>
        </w:rPr>
        <w:t xml:space="preserve"> è ….. [se previsto] [indicare nome, cognome e indirizzo e-mail].</w:t>
      </w:r>
    </w:p>
    <w:p w14:paraId="74D4236E" w14:textId="77777777" w:rsidR="00443EB5" w:rsidRPr="00AF38A8" w:rsidRDefault="00443EB5" w:rsidP="00BD1359">
      <w:pPr>
        <w:spacing w:line="276" w:lineRule="auto"/>
        <w:jc w:val="both"/>
        <w:rPr>
          <w:rFonts w:asciiTheme="minorHAnsi" w:eastAsia="Times New Roman" w:hAnsiTheme="minorHAnsi" w:cstheme="minorHAnsi"/>
          <w:sz w:val="24"/>
          <w:szCs w:val="24"/>
        </w:rPr>
      </w:pPr>
    </w:p>
    <w:p w14:paraId="53F95D67"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0" w:name="bookmark=id.1t3h5sf" w:colFirst="0" w:colLast="0"/>
      <w:bookmarkStart w:id="11" w:name="bookmark=id.2s8eyo1" w:colFirst="0" w:colLast="0"/>
      <w:bookmarkStart w:id="12" w:name="bookmark=id.3rdcrjn" w:colFirst="0" w:colLast="0"/>
      <w:bookmarkStart w:id="13" w:name="bookmark=id.lnxbz9" w:colFirst="0" w:colLast="0"/>
      <w:bookmarkStart w:id="14" w:name="_heading=h.1egqt2p" w:colFirst="0" w:colLast="0"/>
      <w:bookmarkStart w:id="15" w:name="_Toc139277017"/>
      <w:bookmarkStart w:id="16" w:name="_Toc140929813"/>
      <w:bookmarkStart w:id="17" w:name="_Toc141027255"/>
      <w:bookmarkEnd w:id="10"/>
      <w:bookmarkEnd w:id="11"/>
      <w:bookmarkEnd w:id="12"/>
      <w:bookmarkEnd w:id="13"/>
      <w:bookmarkEnd w:id="14"/>
      <w:r w:rsidRPr="00AF38A8">
        <w:rPr>
          <w:rFonts w:asciiTheme="minorHAnsi" w:eastAsia="Times New Roman" w:hAnsiTheme="minorHAnsi" w:cstheme="minorHAnsi"/>
          <w:sz w:val="24"/>
          <w:szCs w:val="24"/>
        </w:rPr>
        <w:t>Documentazione di gara, chiarimenti e comunicazioni</w:t>
      </w:r>
      <w:bookmarkStart w:id="18" w:name="_Toc139277018"/>
      <w:bookmarkEnd w:id="15"/>
      <w:bookmarkEnd w:id="16"/>
      <w:bookmarkEnd w:id="17"/>
    </w:p>
    <w:p w14:paraId="20811735" w14:textId="77777777" w:rsidR="0076366E"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bookmarkStart w:id="19" w:name="_Toc140929814"/>
      <w:bookmarkStart w:id="20" w:name="_Toc141027256"/>
      <w:r w:rsidRPr="00AF38A8">
        <w:rPr>
          <w:rFonts w:asciiTheme="minorHAnsi" w:eastAsia="Times New Roman" w:hAnsiTheme="minorHAnsi" w:cstheme="minorHAnsi"/>
          <w:sz w:val="24"/>
          <w:szCs w:val="24"/>
        </w:rPr>
        <w:t>Documenti di gara</w:t>
      </w:r>
      <w:bookmarkEnd w:id="18"/>
      <w:bookmarkEnd w:id="19"/>
      <w:bookmarkEnd w:id="20"/>
    </w:p>
    <w:p w14:paraId="13640E1E" w14:textId="16659A8D" w:rsidR="0076366E" w:rsidRPr="00AF38A8" w:rsidRDefault="00BA3D28"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documentazione di gara comprende</w:t>
      </w:r>
      <w:r w:rsidR="005704BD" w:rsidRPr="00AF38A8">
        <w:rPr>
          <w:rFonts w:asciiTheme="minorHAnsi" w:eastAsia="Times New Roman" w:hAnsiTheme="minorHAnsi" w:cstheme="minorHAnsi"/>
          <w:sz w:val="24"/>
          <w:szCs w:val="24"/>
        </w:rPr>
        <w:t>, oltre alla presente lettera di invito</w:t>
      </w:r>
      <w:r w:rsidRPr="00AF38A8">
        <w:rPr>
          <w:rFonts w:asciiTheme="minorHAnsi" w:eastAsia="Times New Roman" w:hAnsiTheme="minorHAnsi" w:cstheme="minorHAnsi"/>
          <w:sz w:val="24"/>
          <w:szCs w:val="24"/>
        </w:rPr>
        <w:t>:</w:t>
      </w:r>
    </w:p>
    <w:p w14:paraId="5B48792F" w14:textId="52E6D948" w:rsidR="0076366E" w:rsidRPr="00AF38A8" w:rsidRDefault="00BA3D28" w:rsidP="00BD1359">
      <w:pPr>
        <w:numPr>
          <w:ilvl w:val="0"/>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“Protocollo quadro di legalità” sottoscritto in data 26/07/2017 dal Commissario straordinario del Governo, dalla Struttura di Missione e dalla Centrale Unica di Committenza INVITALIA Spa, la cui mancata accettazione costituisce causa di esclusione dalla gara, ai sensi dell’art. 1, comma 17</w:t>
      </w:r>
      <w:r w:rsidR="00CB6205" w:rsidRPr="00AF38A8">
        <w:rPr>
          <w:rFonts w:asciiTheme="minorHAnsi" w:eastAsia="Times New Roman" w:hAnsiTheme="minorHAnsi" w:cstheme="minorHAnsi"/>
          <w:sz w:val="24"/>
          <w:szCs w:val="24"/>
        </w:rPr>
        <w:t>,</w:t>
      </w:r>
      <w:r w:rsidR="005704BD" w:rsidRPr="00AF38A8">
        <w:rPr>
          <w:rFonts w:asciiTheme="minorHAnsi" w:eastAsia="Times New Roman" w:hAnsiTheme="minorHAnsi" w:cstheme="minorHAnsi"/>
          <w:sz w:val="24"/>
          <w:szCs w:val="24"/>
        </w:rPr>
        <w:t xml:space="preserve"> della </w:t>
      </w:r>
      <w:r w:rsidR="00CB6205" w:rsidRPr="00AF38A8">
        <w:rPr>
          <w:rFonts w:asciiTheme="minorHAnsi" w:eastAsia="Times New Roman" w:hAnsiTheme="minorHAnsi" w:cstheme="minorHAnsi"/>
          <w:sz w:val="24"/>
          <w:szCs w:val="24"/>
        </w:rPr>
        <w:t>legge 6 novembre 2012, n. 190 (“</w:t>
      </w:r>
      <w:r w:rsidR="00CB6205" w:rsidRPr="00AF38A8">
        <w:rPr>
          <w:rFonts w:asciiTheme="minorHAnsi" w:eastAsia="Times New Roman" w:hAnsiTheme="minorHAnsi" w:cstheme="minorHAnsi"/>
          <w:i/>
          <w:sz w:val="24"/>
          <w:szCs w:val="24"/>
        </w:rPr>
        <w:t>Disposizioni per la prevenzione e la repressione della corruzione e dell’illegalità nella pubblica amministrazione</w:t>
      </w:r>
      <w:r w:rsidR="002035A3" w:rsidRPr="00AF38A8">
        <w:rPr>
          <w:rFonts w:asciiTheme="minorHAnsi" w:eastAsia="Times New Roman" w:hAnsiTheme="minorHAnsi" w:cstheme="minorHAnsi"/>
          <w:sz w:val="24"/>
          <w:szCs w:val="24"/>
        </w:rPr>
        <w:t>”</w:t>
      </w:r>
      <w:r w:rsidR="00CB6205" w:rsidRPr="00AF38A8">
        <w:rPr>
          <w:rFonts w:asciiTheme="minorHAnsi" w:eastAsia="Times New Roman" w:hAnsiTheme="minorHAnsi" w:cstheme="minorHAnsi"/>
          <w:sz w:val="24"/>
          <w:szCs w:val="24"/>
        </w:rPr>
        <w:t>)</w:t>
      </w:r>
      <w:r w:rsidR="005704BD" w:rsidRPr="00AF38A8">
        <w:rPr>
          <w:rFonts w:asciiTheme="minorHAnsi" w:eastAsia="Times New Roman" w:hAnsiTheme="minorHAnsi" w:cstheme="minorHAnsi"/>
          <w:sz w:val="24"/>
          <w:szCs w:val="24"/>
        </w:rPr>
        <w:t>;</w:t>
      </w:r>
    </w:p>
    <w:p w14:paraId="065DE5B8" w14:textId="3FD86ECD" w:rsidR="0076366E" w:rsidRPr="00AF38A8" w:rsidRDefault="00BA3D28" w:rsidP="00BD1359">
      <w:pPr>
        <w:numPr>
          <w:ilvl w:val="0"/>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Documentazione tecnica [</w:t>
      </w:r>
      <w:r w:rsidRPr="00AF38A8">
        <w:rPr>
          <w:rFonts w:asciiTheme="minorHAnsi" w:eastAsia="Times New Roman" w:hAnsiTheme="minorHAnsi" w:cstheme="minorHAnsi"/>
          <w:i/>
          <w:sz w:val="24"/>
          <w:szCs w:val="24"/>
        </w:rPr>
        <w:t>elencare specificamente la documentazione, tra cui il capitolato speciale ed eventualmente la relazione tecnica/metodologica relativa ai CAM da applicare</w:t>
      </w:r>
      <w:r w:rsidRPr="00AF38A8">
        <w:rPr>
          <w:rFonts w:asciiTheme="minorHAnsi" w:eastAsia="Times New Roman" w:hAnsiTheme="minorHAnsi" w:cstheme="minorHAnsi"/>
          <w:sz w:val="24"/>
          <w:szCs w:val="24"/>
        </w:rPr>
        <w:t>]</w:t>
      </w:r>
    </w:p>
    <w:p w14:paraId="5B427359" w14:textId="77777777" w:rsidR="0076366E" w:rsidRPr="00AF38A8" w:rsidRDefault="00BA3D28" w:rsidP="00BD1359">
      <w:pPr>
        <w:pBdr>
          <w:top w:val="nil"/>
          <w:left w:val="nil"/>
          <w:bottom w:val="nil"/>
          <w:right w:val="nil"/>
          <w:between w:val="nil"/>
        </w:pBdr>
        <w:spacing w:line="276" w:lineRule="auto"/>
        <w:ind w:left="720"/>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Ad esempio:</w:t>
      </w:r>
    </w:p>
    <w:p w14:paraId="1F4FFD51" w14:textId="44BDF09B" w:rsidR="0076366E" w:rsidRPr="00AF38A8" w:rsidRDefault="00BA3D28" w:rsidP="00BD1359">
      <w:pPr>
        <w:numPr>
          <w:ilvl w:val="1"/>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Capitolato </w:t>
      </w:r>
      <w:r w:rsidR="005704BD" w:rsidRPr="00AF38A8">
        <w:rPr>
          <w:rFonts w:asciiTheme="minorHAnsi" w:eastAsia="Times New Roman" w:hAnsiTheme="minorHAnsi" w:cstheme="minorHAnsi"/>
          <w:sz w:val="24"/>
          <w:szCs w:val="24"/>
        </w:rPr>
        <w:t>descrittivo e prestazionale</w:t>
      </w:r>
      <w:r w:rsidRPr="00AF38A8">
        <w:rPr>
          <w:rFonts w:asciiTheme="minorHAnsi" w:eastAsia="Times New Roman" w:hAnsiTheme="minorHAnsi" w:cstheme="minorHAnsi"/>
          <w:sz w:val="24"/>
          <w:szCs w:val="24"/>
        </w:rPr>
        <w:t>;</w:t>
      </w:r>
    </w:p>
    <w:p w14:paraId="5AB5DA0D" w14:textId="77777777" w:rsidR="0076366E" w:rsidRPr="00AF38A8" w:rsidRDefault="00BA3D28" w:rsidP="00BD1359">
      <w:pPr>
        <w:numPr>
          <w:ilvl w:val="1"/>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Schema di Contratto;</w:t>
      </w:r>
    </w:p>
    <w:p w14:paraId="0D7B0575" w14:textId="291ACFE6" w:rsidR="0076366E" w:rsidRPr="00AF38A8" w:rsidRDefault="00BA3D28" w:rsidP="00BD1359">
      <w:pPr>
        <w:numPr>
          <w:ilvl w:val="1"/>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Documento di indirizzo alla progettazione</w:t>
      </w:r>
      <w:r w:rsidR="004D1AC2">
        <w:rPr>
          <w:rFonts w:asciiTheme="minorHAnsi" w:eastAsia="Times New Roman" w:hAnsiTheme="minorHAnsi" w:cstheme="minorHAnsi"/>
          <w:sz w:val="24"/>
          <w:szCs w:val="24"/>
        </w:rPr>
        <w:t xml:space="preserve"> e allegati</w:t>
      </w:r>
      <w:r w:rsidRPr="00AF38A8">
        <w:rPr>
          <w:rFonts w:asciiTheme="minorHAnsi" w:eastAsia="Times New Roman" w:hAnsiTheme="minorHAnsi" w:cstheme="minorHAnsi"/>
          <w:sz w:val="24"/>
          <w:szCs w:val="24"/>
        </w:rPr>
        <w:t xml:space="preserve">; </w:t>
      </w:r>
    </w:p>
    <w:p w14:paraId="438D2016" w14:textId="77777777" w:rsidR="0076366E" w:rsidRPr="00AF38A8" w:rsidRDefault="00BA3D28" w:rsidP="00BD1359">
      <w:pPr>
        <w:numPr>
          <w:ilvl w:val="1"/>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Schema determinazione dei corrispettivi;</w:t>
      </w:r>
    </w:p>
    <w:p w14:paraId="1814C9E1" w14:textId="77777777" w:rsidR="0076366E" w:rsidRPr="00AF38A8" w:rsidRDefault="00BA3D28" w:rsidP="00BD1359">
      <w:pPr>
        <w:numPr>
          <w:ilvl w:val="0"/>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Schema di domanda di partecipazione;</w:t>
      </w:r>
      <w:bookmarkStart w:id="21" w:name="_Hlk139557223"/>
    </w:p>
    <w:p w14:paraId="70918711" w14:textId="440B0D13" w:rsidR="0076366E" w:rsidRPr="00AF38A8" w:rsidRDefault="00BA3D28" w:rsidP="00BD1359">
      <w:pPr>
        <w:numPr>
          <w:ilvl w:val="0"/>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Documento di gara unico europeo</w:t>
      </w:r>
      <w:r w:rsidR="00BB4B78" w:rsidRPr="00AF38A8">
        <w:rPr>
          <w:rFonts w:asciiTheme="minorHAnsi" w:eastAsia="Times New Roman" w:hAnsiTheme="minorHAnsi" w:cstheme="minorHAnsi"/>
          <w:sz w:val="24"/>
          <w:szCs w:val="24"/>
        </w:rPr>
        <w:t>;</w:t>
      </w:r>
    </w:p>
    <w:bookmarkEnd w:id="21"/>
    <w:p w14:paraId="19F77836" w14:textId="77777777" w:rsidR="0076366E" w:rsidRPr="00AF38A8" w:rsidRDefault="00BA3D28" w:rsidP="00BD1359">
      <w:pPr>
        <w:numPr>
          <w:ilvl w:val="0"/>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Codice di comportamento dei dipendenti;</w:t>
      </w:r>
    </w:p>
    <w:p w14:paraId="45CB6BC9" w14:textId="77777777" w:rsidR="0076366E" w:rsidRPr="00AF38A8" w:rsidRDefault="00BA3D28" w:rsidP="00BD1359">
      <w:pPr>
        <w:numPr>
          <w:ilvl w:val="0"/>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Istruzioni operative per accedere alla Piattaforma e regole tecniche per l’utilizzo della stessa [</w:t>
      </w:r>
      <w:r w:rsidRPr="00AF38A8">
        <w:rPr>
          <w:rFonts w:asciiTheme="minorHAnsi" w:eastAsia="Times New Roman" w:hAnsiTheme="minorHAnsi" w:cstheme="minorHAnsi"/>
          <w:i/>
          <w:sz w:val="24"/>
          <w:szCs w:val="24"/>
        </w:rPr>
        <w:t>indicare il documento nel quale sono riportate le indicazioni operative e le informazioni per accedere ed utilizzare la Piattaforma, ad esempio Istruzioni tecniche o Manuale utente ovvero il link dove è possibile trovare tale documentazione</w:t>
      </w:r>
      <w:r w:rsidRPr="00AF38A8">
        <w:rPr>
          <w:rFonts w:asciiTheme="minorHAnsi" w:eastAsia="Times New Roman" w:hAnsiTheme="minorHAnsi" w:cstheme="minorHAnsi"/>
          <w:sz w:val="24"/>
          <w:szCs w:val="24"/>
        </w:rPr>
        <w:t>];</w:t>
      </w:r>
    </w:p>
    <w:p w14:paraId="27F2D264" w14:textId="7D2A729F" w:rsidR="0076366E" w:rsidRPr="00AF38A8" w:rsidRDefault="00BA3D28" w:rsidP="00BD1359">
      <w:pPr>
        <w:widowControl/>
        <w:numPr>
          <w:ilvl w:val="0"/>
          <w:numId w:val="24"/>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[indicare eventuali altri allegati. Ad esempio modello/schema per la presentazione dell’offerta economica/lista prezzi/dettaglio economico</w:t>
      </w:r>
      <w:r w:rsidR="00955DEF" w:rsidRPr="00AF38A8">
        <w:rPr>
          <w:rFonts w:asciiTheme="minorHAnsi" w:hAnsiTheme="minorHAnsi" w:cstheme="minorHAnsi"/>
          <w:i/>
          <w:sz w:val="24"/>
          <w:szCs w:val="24"/>
        </w:rPr>
        <w:t>]</w:t>
      </w:r>
    </w:p>
    <w:p w14:paraId="63ED4297" w14:textId="0B1AD0D9" w:rsidR="0076366E" w:rsidRPr="00AF38A8" w:rsidRDefault="00BA3D28" w:rsidP="00BD1359">
      <w:pPr>
        <w:spacing w:line="276" w:lineRule="auto"/>
        <w:jc w:val="both"/>
        <w:rPr>
          <w:rFonts w:asciiTheme="minorHAnsi" w:eastAsia="Times New Roman" w:hAnsiTheme="minorHAnsi" w:cstheme="minorHAnsi"/>
          <w:sz w:val="24"/>
          <w:szCs w:val="24"/>
        </w:rPr>
      </w:pPr>
      <w:bookmarkStart w:id="22" w:name="_Hlk141032337"/>
      <w:r w:rsidRPr="00AF38A8">
        <w:rPr>
          <w:rFonts w:asciiTheme="minorHAnsi" w:eastAsia="Times New Roman" w:hAnsiTheme="minorHAnsi" w:cstheme="minorHAnsi"/>
          <w:sz w:val="24"/>
          <w:szCs w:val="24"/>
        </w:rPr>
        <w:t xml:space="preserve">La documentazione tecnica è stata redatta tenendo conto delle specifiche tecniche e delle clausole contrattuali contenute nei criteri ambientali minimi (CAM) di cui al </w:t>
      </w:r>
      <w:r w:rsidR="00792399">
        <w:rPr>
          <w:rFonts w:asciiTheme="minorHAnsi" w:eastAsia="Times New Roman" w:hAnsiTheme="minorHAnsi" w:cstheme="minorHAnsi"/>
          <w:sz w:val="24"/>
          <w:szCs w:val="24"/>
        </w:rPr>
        <w:t xml:space="preserve">citato </w:t>
      </w:r>
      <w:r w:rsidRPr="00AF38A8">
        <w:rPr>
          <w:rFonts w:asciiTheme="minorHAnsi" w:eastAsia="Times New Roman" w:hAnsiTheme="minorHAnsi" w:cstheme="minorHAnsi"/>
          <w:sz w:val="24"/>
          <w:szCs w:val="24"/>
        </w:rPr>
        <w:t>d.m.</w:t>
      </w:r>
      <w:r w:rsidR="00A91201"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sz w:val="24"/>
          <w:szCs w:val="24"/>
        </w:rPr>
        <w:t>23 giugno 2022 n. 256</w:t>
      </w:r>
      <w:r w:rsidR="006816F4">
        <w:rPr>
          <w:rFonts w:asciiTheme="minorHAnsi" w:eastAsia="Times New Roman" w:hAnsiTheme="minorHAnsi" w:cstheme="minorHAnsi"/>
          <w:sz w:val="24"/>
          <w:szCs w:val="24"/>
        </w:rPr>
        <w:t xml:space="preserve">, </w:t>
      </w:r>
      <w:r w:rsidR="00824236">
        <w:rPr>
          <w:rFonts w:asciiTheme="minorHAnsi" w:eastAsia="Times New Roman" w:hAnsiTheme="minorHAnsi" w:cstheme="minorHAnsi"/>
          <w:sz w:val="24"/>
          <w:szCs w:val="24"/>
        </w:rPr>
        <w:t xml:space="preserve">e delle specifiche tecniche e clausole contrattuali contenute nei criteri minimi ambientali (CAM) di cui </w:t>
      </w:r>
      <w:proofErr w:type="gramStart"/>
      <w:r w:rsidR="00824236">
        <w:rPr>
          <w:rFonts w:asciiTheme="minorHAnsi" w:eastAsia="Times New Roman" w:hAnsiTheme="minorHAnsi" w:cstheme="minorHAnsi"/>
          <w:sz w:val="24"/>
          <w:szCs w:val="24"/>
        </w:rPr>
        <w:t>al….</w:t>
      </w:r>
      <w:proofErr w:type="gramEnd"/>
      <w:r w:rsidR="00824236">
        <w:rPr>
          <w:rFonts w:asciiTheme="minorHAnsi" w:eastAsia="Times New Roman" w:hAnsiTheme="minorHAnsi" w:cstheme="minorHAnsi"/>
          <w:sz w:val="24"/>
          <w:szCs w:val="24"/>
        </w:rPr>
        <w:t>.[</w:t>
      </w:r>
      <w:r w:rsidR="00824236" w:rsidRPr="00824236">
        <w:rPr>
          <w:rFonts w:asciiTheme="minorHAnsi" w:eastAsia="Times New Roman" w:hAnsiTheme="minorHAnsi" w:cstheme="minorHAnsi"/>
          <w:i/>
          <w:sz w:val="24"/>
          <w:szCs w:val="24"/>
        </w:rPr>
        <w:t>indicare eventuali ulteriori CAM previsti in ragione della tipologia dell’appalto</w:t>
      </w:r>
      <w:r w:rsidR="00824236">
        <w:rPr>
          <w:rFonts w:asciiTheme="minorHAnsi" w:eastAsia="Times New Roman" w:hAnsiTheme="minorHAnsi" w:cstheme="minorHAnsi"/>
          <w:sz w:val="24"/>
          <w:szCs w:val="24"/>
        </w:rPr>
        <w:t>].</w:t>
      </w:r>
    </w:p>
    <w:p w14:paraId="20207419" w14:textId="409C903A" w:rsidR="0076366E" w:rsidRPr="00AF38A8"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sz w:val="24"/>
          <w:szCs w:val="24"/>
        </w:rPr>
        <w:t>La documentazione di gara è accessibile gratuitamente, sul sito istituzionale della stazione appaltante, nella sezione “Amministrazione trasparente”, al seguente link: ... [</w:t>
      </w:r>
      <w:r w:rsidRPr="00AF38A8">
        <w:rPr>
          <w:rFonts w:asciiTheme="minorHAnsi" w:eastAsia="Times New Roman" w:hAnsiTheme="minorHAnsi" w:cstheme="minorHAnsi"/>
          <w:i/>
          <w:sz w:val="24"/>
          <w:szCs w:val="24"/>
        </w:rPr>
        <w:t>indicare il link dal quale è possibile consultare la documentazione</w:t>
      </w:r>
      <w:r w:rsidRPr="00AF38A8">
        <w:rPr>
          <w:rFonts w:asciiTheme="minorHAnsi" w:eastAsia="Times New Roman" w:hAnsiTheme="minorHAnsi" w:cstheme="minorHAnsi"/>
          <w:sz w:val="24"/>
          <w:szCs w:val="24"/>
        </w:rPr>
        <w:t xml:space="preserve">] e sulla Piattaforma … </w:t>
      </w:r>
      <w:hyperlink r:id="rId9">
        <w:r w:rsidRPr="00AF38A8">
          <w:rPr>
            <w:rFonts w:asciiTheme="minorHAnsi" w:eastAsia="Times New Roman" w:hAnsiTheme="minorHAnsi" w:cstheme="minorHAnsi"/>
            <w:sz w:val="24"/>
            <w:szCs w:val="24"/>
          </w:rPr>
          <w:t>http://www</w:t>
        </w:r>
      </w:hyperlink>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i/>
          <w:sz w:val="24"/>
          <w:szCs w:val="24"/>
        </w:rPr>
        <w:t>indicare l’apposita sezione</w:t>
      </w:r>
      <w:r w:rsidRPr="00AF38A8">
        <w:rPr>
          <w:rFonts w:asciiTheme="minorHAnsi" w:eastAsia="Times New Roman" w:hAnsiTheme="minorHAnsi" w:cstheme="minorHAnsi"/>
          <w:sz w:val="24"/>
          <w:szCs w:val="24"/>
        </w:rPr>
        <w:t>].</w:t>
      </w:r>
    </w:p>
    <w:p w14:paraId="1812A360" w14:textId="77777777" w:rsidR="0076366E" w:rsidRPr="00AF38A8" w:rsidRDefault="0076366E" w:rsidP="00BD1359">
      <w:pPr>
        <w:spacing w:line="276" w:lineRule="auto"/>
        <w:jc w:val="both"/>
        <w:rPr>
          <w:rFonts w:asciiTheme="minorHAnsi" w:eastAsia="Times New Roman" w:hAnsiTheme="minorHAnsi" w:cstheme="minorHAnsi"/>
          <w:i/>
          <w:sz w:val="24"/>
          <w:szCs w:val="24"/>
        </w:rPr>
      </w:pPr>
      <w:bookmarkStart w:id="23" w:name="_Toc139277019"/>
      <w:bookmarkEnd w:id="22"/>
    </w:p>
    <w:p w14:paraId="1E124782" w14:textId="77777777" w:rsidR="0076366E"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bookmarkStart w:id="24" w:name="_Toc140929815"/>
      <w:bookmarkStart w:id="25" w:name="_Toc141027257"/>
      <w:r w:rsidRPr="00AF38A8">
        <w:rPr>
          <w:rFonts w:asciiTheme="minorHAnsi" w:eastAsia="Times New Roman" w:hAnsiTheme="minorHAnsi" w:cstheme="minorHAnsi"/>
          <w:sz w:val="24"/>
          <w:szCs w:val="24"/>
        </w:rPr>
        <w:t>Chiarimenti</w:t>
      </w:r>
      <w:bookmarkEnd w:id="23"/>
      <w:bookmarkEnd w:id="24"/>
      <w:bookmarkEnd w:id="25"/>
    </w:p>
    <w:p w14:paraId="3E4E1174" w14:textId="22982EFE" w:rsidR="0076366E" w:rsidRPr="00AF38A8"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bookmarkStart w:id="26" w:name="bookmark=id.1y810tw" w:colFirst="0" w:colLast="0"/>
      <w:bookmarkEnd w:id="26"/>
      <w:r w:rsidRPr="00AF38A8">
        <w:rPr>
          <w:rFonts w:asciiTheme="minorHAnsi" w:eastAsia="Times New Roman" w:hAnsiTheme="minorHAnsi" w:cstheme="minorHAnsi"/>
          <w:sz w:val="24"/>
          <w:szCs w:val="24"/>
        </w:rPr>
        <w:t>É possibile ottenere chiarimenti sulla presente procedura mediante la proposizione di quesiti scritti da inoltrare almeno … [</w:t>
      </w:r>
      <w:r w:rsidRPr="00AF38A8">
        <w:rPr>
          <w:rFonts w:asciiTheme="minorHAnsi" w:eastAsia="Times New Roman" w:hAnsiTheme="minorHAnsi" w:cstheme="minorHAnsi"/>
          <w:i/>
          <w:sz w:val="24"/>
          <w:szCs w:val="24"/>
        </w:rPr>
        <w:t>indicare il numero di giorni, ad esempio 10</w:t>
      </w:r>
      <w:r w:rsidRPr="00AF38A8">
        <w:rPr>
          <w:rFonts w:asciiTheme="minorHAnsi" w:eastAsia="Times New Roman" w:hAnsiTheme="minorHAnsi" w:cstheme="minorHAnsi"/>
          <w:sz w:val="24"/>
          <w:szCs w:val="24"/>
        </w:rPr>
        <w:t>] giorni prima della scadenza del termine fissato per la presentazione delle offerte in via telematica</w:t>
      </w:r>
      <w:r w:rsidR="00792399">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attraverso la sezione della Piattaforma riservata alle richieste di chiarimenti [</w:t>
      </w:r>
      <w:r w:rsidRPr="00792399">
        <w:rPr>
          <w:rFonts w:asciiTheme="minorHAnsi" w:eastAsia="Times New Roman" w:hAnsiTheme="minorHAnsi" w:cstheme="minorHAnsi"/>
          <w:i/>
          <w:sz w:val="24"/>
          <w:szCs w:val="24"/>
        </w:rPr>
        <w:t>indicare la Sezione/Area ovvero il link all’area chiarimenti</w:t>
      </w:r>
      <w:r w:rsidRPr="00AF38A8">
        <w:rPr>
          <w:rFonts w:asciiTheme="minorHAnsi" w:eastAsia="Times New Roman" w:hAnsiTheme="minorHAnsi" w:cstheme="minorHAnsi"/>
          <w:sz w:val="24"/>
          <w:szCs w:val="24"/>
        </w:rPr>
        <w:t>], previa registrazione alla Piattaforma stessa.</w:t>
      </w:r>
    </w:p>
    <w:p w14:paraId="09309565" w14:textId="77777777" w:rsidR="00792399"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richieste di chiarimenti e le relative risposte sono formulate esclusivamente in lingua italiana</w:t>
      </w:r>
      <w:r w:rsidR="00792399">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w:t>
      </w:r>
    </w:p>
    <w:p w14:paraId="54007711" w14:textId="5FD8548D" w:rsidR="0076366E" w:rsidRPr="00AF38A8"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in alternativa in caso di bilinguismo</w:t>
      </w:r>
      <w:r w:rsidRPr="00AF38A8">
        <w:rPr>
          <w:rFonts w:asciiTheme="minorHAnsi" w:eastAsia="Times New Roman" w:hAnsiTheme="minorHAnsi" w:cstheme="minorHAnsi"/>
          <w:sz w:val="24"/>
          <w:szCs w:val="24"/>
        </w:rPr>
        <w:t>] Le richieste di chiarimenti e le relative risposte sono formulate in lingua italiana [</w:t>
      </w:r>
      <w:r w:rsidRPr="00AF38A8">
        <w:rPr>
          <w:rFonts w:asciiTheme="minorHAnsi" w:eastAsia="Times New Roman" w:hAnsiTheme="minorHAnsi" w:cstheme="minorHAnsi"/>
          <w:i/>
          <w:sz w:val="24"/>
          <w:szCs w:val="24"/>
        </w:rPr>
        <w:t>e, o specificare</w:t>
      </w:r>
      <w:r w:rsidRPr="00AF38A8">
        <w:rPr>
          <w:rFonts w:asciiTheme="minorHAnsi" w:eastAsia="Times New Roman" w:hAnsiTheme="minorHAnsi" w:cstheme="minorHAnsi"/>
          <w:sz w:val="24"/>
          <w:szCs w:val="24"/>
        </w:rPr>
        <w:t>] … [</w:t>
      </w:r>
      <w:r w:rsidRPr="00AF38A8">
        <w:rPr>
          <w:rFonts w:asciiTheme="minorHAnsi" w:eastAsia="Times New Roman" w:hAnsiTheme="minorHAnsi" w:cstheme="minorHAnsi"/>
          <w:i/>
          <w:sz w:val="24"/>
          <w:szCs w:val="24"/>
        </w:rPr>
        <w:t>indicare l’altra lingua</w:t>
      </w:r>
      <w:r w:rsidRPr="00AF38A8">
        <w:rPr>
          <w:rFonts w:asciiTheme="minorHAnsi" w:eastAsia="Times New Roman" w:hAnsiTheme="minorHAnsi" w:cstheme="minorHAnsi"/>
          <w:sz w:val="24"/>
          <w:szCs w:val="24"/>
        </w:rPr>
        <w:t>].</w:t>
      </w:r>
    </w:p>
    <w:p w14:paraId="30E49E8B" w14:textId="5155D238" w:rsidR="0076366E" w:rsidRPr="00AF38A8"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risposte alle richieste di chiarimenti presentate in tempo utile sono fornite in formato elettronico almeno 6 giorni [</w:t>
      </w:r>
      <w:r w:rsidRPr="00AF38A8">
        <w:rPr>
          <w:rFonts w:asciiTheme="minorHAnsi" w:eastAsia="Times New Roman" w:hAnsiTheme="minorHAnsi" w:cstheme="minorHAnsi"/>
          <w:i/>
          <w:sz w:val="24"/>
          <w:szCs w:val="24"/>
        </w:rPr>
        <w:t>in alternativa 4 giorni, per le procedure il cui termine è ridotto</w:t>
      </w:r>
      <w:r w:rsidRPr="00AF38A8">
        <w:rPr>
          <w:rFonts w:asciiTheme="minorHAnsi" w:eastAsia="Times New Roman" w:hAnsiTheme="minorHAnsi" w:cstheme="minorHAnsi"/>
          <w:sz w:val="24"/>
          <w:szCs w:val="24"/>
        </w:rPr>
        <w:t>] prima della scadenza del termine fissato per la presentazione delle offerte, mediante pubblicazione delle richieste in forma anonima e delle relative risposte sulla Piattaforma … [</w:t>
      </w:r>
      <w:r w:rsidRPr="00AF38A8">
        <w:rPr>
          <w:rFonts w:asciiTheme="minorHAnsi" w:eastAsia="Times New Roman" w:hAnsiTheme="minorHAnsi" w:cstheme="minorHAnsi"/>
          <w:i/>
          <w:sz w:val="24"/>
          <w:szCs w:val="24"/>
        </w:rPr>
        <w:t>indicare l’apposita sezione</w:t>
      </w:r>
      <w:r w:rsidRPr="00AF38A8">
        <w:rPr>
          <w:rFonts w:asciiTheme="minorHAnsi" w:eastAsia="Times New Roman" w:hAnsiTheme="minorHAnsi" w:cstheme="minorHAnsi"/>
          <w:sz w:val="24"/>
          <w:szCs w:val="24"/>
        </w:rPr>
        <w:t>] e sul sito istituzionale ... [</w:t>
      </w:r>
      <w:r w:rsidRPr="00792399">
        <w:rPr>
          <w:rFonts w:asciiTheme="minorHAnsi" w:eastAsia="Times New Roman" w:hAnsiTheme="minorHAnsi" w:cstheme="minorHAnsi"/>
          <w:i/>
          <w:sz w:val="24"/>
          <w:szCs w:val="24"/>
        </w:rPr>
        <w:t>indicare il link dal quale è possibile consultare i chiarimenti</w:t>
      </w:r>
      <w:r w:rsidRPr="00AF38A8">
        <w:rPr>
          <w:rFonts w:asciiTheme="minorHAnsi" w:eastAsia="Times New Roman" w:hAnsiTheme="minorHAnsi" w:cstheme="minorHAnsi"/>
          <w:sz w:val="24"/>
          <w:szCs w:val="24"/>
        </w:rPr>
        <w:t>]. Si invitano i concorrenti a visionare costantemente tale sezione della Piattaforma o il sito istituzionale.</w:t>
      </w:r>
    </w:p>
    <w:p w14:paraId="4DA30C64" w14:textId="559E63DA" w:rsidR="0076366E" w:rsidRPr="00AF38A8"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w:t>
      </w:r>
      <w:r w:rsidR="00792399">
        <w:rPr>
          <w:rFonts w:asciiTheme="minorHAnsi" w:eastAsia="Times New Roman" w:hAnsiTheme="minorHAnsi" w:cstheme="minorHAnsi"/>
          <w:i/>
          <w:sz w:val="24"/>
          <w:szCs w:val="24"/>
        </w:rPr>
        <w:t>e</w:t>
      </w:r>
      <w:r w:rsidRPr="00AF38A8">
        <w:rPr>
          <w:rFonts w:asciiTheme="minorHAnsi" w:eastAsia="Times New Roman" w:hAnsiTheme="minorHAnsi" w:cstheme="minorHAnsi"/>
          <w:i/>
          <w:sz w:val="24"/>
          <w:szCs w:val="24"/>
        </w:rPr>
        <w:t>ventuale, se la Piattaforma lo consente</w:t>
      </w:r>
      <w:r w:rsidRPr="00AF38A8">
        <w:rPr>
          <w:rFonts w:asciiTheme="minorHAnsi" w:eastAsia="Times New Roman" w:hAnsiTheme="minorHAnsi" w:cstheme="minorHAnsi"/>
          <w:sz w:val="24"/>
          <w:szCs w:val="24"/>
        </w:rPr>
        <w:t>] La Piattaforma invia automaticamente agli operatori economici una segnalazione di avviso.</w:t>
      </w:r>
    </w:p>
    <w:p w14:paraId="031F46A0" w14:textId="77777777" w:rsidR="0076366E" w:rsidRPr="00AF38A8"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Non viene fornita risposta alle richieste presentate con modalità diverse da quelle sopra indicate.</w:t>
      </w:r>
    </w:p>
    <w:p w14:paraId="61E529FC" w14:textId="77777777" w:rsidR="0076366E" w:rsidRPr="00AF38A8" w:rsidRDefault="0076366E" w:rsidP="00BD1359">
      <w:pPr>
        <w:pBdr>
          <w:top w:val="nil"/>
          <w:left w:val="nil"/>
          <w:bottom w:val="nil"/>
          <w:right w:val="nil"/>
          <w:between w:val="nil"/>
        </w:pBdr>
        <w:spacing w:line="276" w:lineRule="auto"/>
        <w:ind w:left="228"/>
        <w:jc w:val="both"/>
        <w:rPr>
          <w:rFonts w:asciiTheme="minorHAnsi" w:eastAsia="Times New Roman" w:hAnsiTheme="minorHAnsi" w:cstheme="minorHAnsi"/>
          <w:sz w:val="24"/>
          <w:szCs w:val="24"/>
        </w:rPr>
      </w:pPr>
    </w:p>
    <w:p w14:paraId="2F889BCA" w14:textId="77777777" w:rsidR="0076366E"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bookmarkStart w:id="27" w:name="bookmark=id.4i7ojhp" w:colFirst="0" w:colLast="0"/>
      <w:bookmarkStart w:id="28" w:name="_Toc139277020"/>
      <w:bookmarkStart w:id="29" w:name="_Toc140929816"/>
      <w:bookmarkStart w:id="30" w:name="_Toc141027258"/>
      <w:bookmarkEnd w:id="27"/>
      <w:r w:rsidRPr="00AF38A8">
        <w:rPr>
          <w:rFonts w:asciiTheme="minorHAnsi" w:eastAsia="Times New Roman" w:hAnsiTheme="minorHAnsi" w:cstheme="minorHAnsi"/>
          <w:sz w:val="24"/>
          <w:szCs w:val="24"/>
        </w:rPr>
        <w:t>Comunicazioni</w:t>
      </w:r>
      <w:bookmarkEnd w:id="28"/>
      <w:bookmarkEnd w:id="29"/>
      <w:bookmarkEnd w:id="30"/>
    </w:p>
    <w:p w14:paraId="26CD6CCD" w14:textId="77777777" w:rsidR="0076366E" w:rsidRPr="00AF38A8" w:rsidRDefault="00BA3D28" w:rsidP="00BD1359">
      <w:pPr>
        <w:spacing w:line="276" w:lineRule="auto"/>
        <w:ind w:left="2"/>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[Opzione 1 - utilizzabile solo fino al 31 dicembre 2023]</w:t>
      </w:r>
    </w:p>
    <w:p w14:paraId="31D3B4D6" w14:textId="541F501D" w:rsidR="0076366E" w:rsidRPr="00707359"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Tutte le comunicazioni e gli scambi di informazioni sono eseguiti mediante l’utilizzo del domicilio digitale estratto da uno degli indici di cui agli articoli 6-bis, 6-ter, 6-quater, del decreto legislativo n. </w:t>
      </w:r>
      <w:r w:rsidR="00792399" w:rsidRPr="00792399">
        <w:rPr>
          <w:rFonts w:asciiTheme="minorHAnsi" w:eastAsia="Times New Roman" w:hAnsiTheme="minorHAnsi" w:cstheme="minorHAnsi"/>
          <w:sz w:val="24"/>
          <w:szCs w:val="24"/>
        </w:rPr>
        <w:t>7 marzo 2005, n. 82</w:t>
      </w:r>
      <w:r w:rsidR="00792399">
        <w:rPr>
          <w:rFonts w:asciiTheme="minorHAnsi" w:eastAsia="Times New Roman" w:hAnsiTheme="minorHAnsi" w:cstheme="minorHAnsi"/>
          <w:sz w:val="24"/>
          <w:szCs w:val="24"/>
        </w:rPr>
        <w:t xml:space="preserve"> (“</w:t>
      </w:r>
      <w:r w:rsidR="00792399" w:rsidRPr="00792399">
        <w:rPr>
          <w:rFonts w:asciiTheme="minorHAnsi" w:eastAsia="Times New Roman" w:hAnsiTheme="minorHAnsi" w:cstheme="minorHAnsi"/>
          <w:sz w:val="24"/>
          <w:szCs w:val="24"/>
        </w:rPr>
        <w:t>Codice dell'amministrazione digitale</w:t>
      </w:r>
      <w:r w:rsidR="00792399">
        <w:rPr>
          <w:rFonts w:asciiTheme="minorHAnsi" w:eastAsia="Times New Roman" w:hAnsiTheme="minorHAnsi" w:cstheme="minorHAnsi"/>
          <w:sz w:val="24"/>
          <w:szCs w:val="24"/>
        </w:rPr>
        <w:t>”)</w:t>
      </w:r>
      <w:r w:rsidRPr="00707359">
        <w:rPr>
          <w:rFonts w:asciiTheme="minorHAnsi" w:eastAsia="Titillium" w:hAnsiTheme="minorHAnsi" w:cstheme="minorHAnsi"/>
          <w:sz w:val="24"/>
          <w:szCs w:val="24"/>
        </w:rPr>
        <w:t xml:space="preserve">. </w:t>
      </w:r>
      <w:r w:rsidRPr="00707359">
        <w:rPr>
          <w:rFonts w:asciiTheme="minorHAnsi" w:eastAsia="Times New Roman" w:hAnsiTheme="minorHAnsi" w:cstheme="minorHAnsi"/>
          <w:sz w:val="24"/>
          <w:szCs w:val="24"/>
        </w:rPr>
        <w:t>Se l’operatore economico non è presente nei predetti indici elegge domicilio digitale speciale presso la stessa Piattaforma nella …………………..[</w:t>
      </w:r>
      <w:r w:rsidRPr="00707359">
        <w:rPr>
          <w:rFonts w:asciiTheme="minorHAnsi" w:eastAsia="Times New Roman" w:hAnsiTheme="minorHAnsi" w:cstheme="minorHAnsi"/>
          <w:i/>
          <w:sz w:val="24"/>
          <w:szCs w:val="24"/>
        </w:rPr>
        <w:t>indicare l’apposita sezione della Piattaforma ove sono accessibili le comunicazioni e gli scambi di informazione</w:t>
      </w:r>
      <w:r w:rsidRPr="00707359">
        <w:rPr>
          <w:rFonts w:asciiTheme="minorHAnsi" w:eastAsia="Times New Roman" w:hAnsiTheme="minorHAnsi" w:cstheme="minorHAnsi"/>
          <w:sz w:val="24"/>
          <w:szCs w:val="24"/>
        </w:rPr>
        <w:t>] e le comunicazioni di cui sopra sono effettuate utilizzando tale domicilio digitale.</w:t>
      </w:r>
    </w:p>
    <w:p w14:paraId="21CD50B5" w14:textId="77777777" w:rsidR="0076366E" w:rsidRPr="00707359" w:rsidRDefault="00BA3D28" w:rsidP="00BD1359">
      <w:pPr>
        <w:spacing w:line="276" w:lineRule="auto"/>
        <w:ind w:left="2"/>
        <w:jc w:val="both"/>
        <w:rPr>
          <w:rFonts w:asciiTheme="minorHAnsi" w:eastAsia="Times New Roman" w:hAnsiTheme="minorHAnsi" w:cstheme="minorHAnsi"/>
          <w:b/>
          <w:i/>
          <w:sz w:val="24"/>
          <w:szCs w:val="24"/>
        </w:rPr>
      </w:pPr>
      <w:r w:rsidRPr="00707359">
        <w:rPr>
          <w:rFonts w:asciiTheme="minorHAnsi" w:eastAsia="Times New Roman" w:hAnsiTheme="minorHAnsi" w:cstheme="minorHAnsi"/>
          <w:b/>
          <w:i/>
          <w:sz w:val="24"/>
          <w:szCs w:val="24"/>
        </w:rPr>
        <w:t>[Opzione 2 - utilizzabile solo fino a 31 dicembre 2023]:</w:t>
      </w:r>
    </w:p>
    <w:p w14:paraId="5C9DF6DC" w14:textId="50513D34" w:rsidR="008A7602" w:rsidRPr="008A7602"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comunicazioni tra stazione appaltante e operatori economici avvengono tramite la Piattaforma e sono accessibili nella ... [</w:t>
      </w:r>
      <w:r w:rsidRPr="00AF38A8">
        <w:rPr>
          <w:rFonts w:asciiTheme="minorHAnsi" w:eastAsia="Times New Roman" w:hAnsiTheme="minorHAnsi" w:cstheme="minorHAnsi"/>
          <w:i/>
          <w:sz w:val="24"/>
          <w:szCs w:val="24"/>
        </w:rPr>
        <w:t>indicare l’apposita sezione della Piattaforma ove sono accessibili le comunicazioni e gli scambi di informazione</w:t>
      </w:r>
      <w:r w:rsidRPr="00AF38A8">
        <w:rPr>
          <w:rFonts w:asciiTheme="minorHAnsi" w:eastAsia="Times New Roman" w:hAnsiTheme="minorHAnsi" w:cstheme="minorHAnsi"/>
          <w:sz w:val="24"/>
          <w:szCs w:val="24"/>
        </w:rPr>
        <w:t>]. È onere esclusivo dell’operatore economico prenderne visione. [</w:t>
      </w:r>
      <w:r w:rsidRPr="00AF38A8">
        <w:rPr>
          <w:rFonts w:asciiTheme="minorHAnsi" w:eastAsia="Times New Roman" w:hAnsiTheme="minorHAnsi" w:cstheme="minorHAnsi"/>
          <w:i/>
          <w:sz w:val="24"/>
          <w:szCs w:val="24"/>
        </w:rPr>
        <w:t>Eventuale, se la Piattaforma lo consente</w:t>
      </w:r>
      <w:r w:rsidRPr="00AF38A8">
        <w:rPr>
          <w:rFonts w:asciiTheme="minorHAnsi" w:eastAsia="Times New Roman" w:hAnsiTheme="minorHAnsi" w:cstheme="minorHAnsi"/>
          <w:sz w:val="24"/>
          <w:szCs w:val="24"/>
        </w:rPr>
        <w:t xml:space="preserve">] La Piattaforma invia automaticamente agli operatori economici una segnalazione di avviso. Le comunicazioni relative: a) all'aggiudicazione; b) all'esclusione; c) alla decisione di non aggiudicare l’appalto; d) alla data di avvenuta stipulazione del contratto con </w:t>
      </w:r>
      <w:r w:rsidRPr="00707359">
        <w:rPr>
          <w:rFonts w:asciiTheme="minorHAnsi" w:eastAsia="Times New Roman" w:hAnsiTheme="minorHAnsi" w:cstheme="minorHAnsi"/>
          <w:sz w:val="24"/>
          <w:szCs w:val="24"/>
        </w:rPr>
        <w:t xml:space="preserve">l'aggiudicatario; avvengono utilizzando il domicilio digitale presente negli indici di cui agli articoli 6-bis,6-ter, 6 quater </w:t>
      </w:r>
      <w:r w:rsidR="00792399" w:rsidRPr="00707359">
        <w:rPr>
          <w:rFonts w:asciiTheme="minorHAnsi" w:eastAsia="Times New Roman" w:hAnsiTheme="minorHAnsi" w:cstheme="minorHAnsi"/>
          <w:sz w:val="24"/>
          <w:szCs w:val="24"/>
        </w:rPr>
        <w:t>del decreto legislativo n. 7 marzo 2005, n. 82 (“Codice dell'amministrazione digitale”)</w:t>
      </w:r>
      <w:r w:rsidRPr="00707359">
        <w:rPr>
          <w:rFonts w:asciiTheme="minorHAnsi" w:eastAsia="Times New Roman" w:hAnsiTheme="minorHAnsi" w:cstheme="minorHAnsi"/>
          <w:sz w:val="24"/>
          <w:szCs w:val="24"/>
        </w:rPr>
        <w:t xml:space="preserve">. Se l’operatore economico non è presente nei predetti indici elegge domicilio digitale speciale presso la stessa Piattaforma e le comunicazioni di cui sopra sono effettuate utilizzando tale domicilio digitale. </w:t>
      </w:r>
    </w:p>
    <w:p w14:paraId="08127013" w14:textId="63B02776" w:rsidR="00311ED9" w:rsidRPr="00707359" w:rsidRDefault="008A7602"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8A7602">
        <w:rPr>
          <w:rFonts w:asciiTheme="minorHAnsi" w:eastAsia="Times New Roman" w:hAnsiTheme="minorHAnsi" w:cstheme="minorHAnsi"/>
          <w:sz w:val="24"/>
          <w:szCs w:val="24"/>
        </w:rPr>
        <w:t>Le comunicazioni relative all’attivazione del soccorso istruttorio; al subprocedimento di verifica dell’anomalia dell’offerta; alla richiesta di offerta migliorativa e al sorteggio di cui all’articolo 22; avvengono presso la Piattaforma.</w:t>
      </w:r>
    </w:p>
    <w:p w14:paraId="33143E39" w14:textId="77777777" w:rsidR="0076366E" w:rsidRPr="00707359"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707359">
        <w:rPr>
          <w:rFonts w:asciiTheme="minorHAnsi" w:eastAsia="Times New Roman" w:hAnsiTheme="minorHAnsi" w:cstheme="minorHAnsi"/>
          <w:sz w:val="24"/>
          <w:szCs w:val="24"/>
        </w:rPr>
        <w:t>[</w:t>
      </w:r>
      <w:r w:rsidRPr="00707359">
        <w:rPr>
          <w:rFonts w:asciiTheme="minorHAnsi" w:eastAsia="Times New Roman" w:hAnsiTheme="minorHAnsi" w:cstheme="minorHAnsi"/>
          <w:b/>
          <w:i/>
          <w:sz w:val="24"/>
          <w:szCs w:val="24"/>
        </w:rPr>
        <w:t>dal 1° gennaio 2024</w:t>
      </w:r>
      <w:r w:rsidRPr="00707359">
        <w:rPr>
          <w:rFonts w:asciiTheme="minorHAnsi" w:eastAsia="Times New Roman" w:hAnsiTheme="minorHAnsi" w:cstheme="minorHAnsi"/>
          <w:sz w:val="24"/>
          <w:szCs w:val="24"/>
        </w:rPr>
        <w:t>]</w:t>
      </w:r>
    </w:p>
    <w:p w14:paraId="2AA3E48E" w14:textId="4C8F5252" w:rsidR="0076366E" w:rsidRPr="00707359"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707359">
        <w:rPr>
          <w:rFonts w:asciiTheme="minorHAnsi" w:eastAsia="Times New Roman" w:hAnsiTheme="minorHAnsi" w:cstheme="minorHAnsi"/>
          <w:sz w:val="24"/>
          <w:szCs w:val="24"/>
        </w:rPr>
        <w:t xml:space="preserve">Tutte le comunicazioni e gli scambi di informazioni tra stazione appaltante e operatori economici sono eseguiti in conformità con quanto disposto dal </w:t>
      </w:r>
      <w:r w:rsidR="00443EB5" w:rsidRPr="00707359">
        <w:rPr>
          <w:rFonts w:asciiTheme="minorHAnsi" w:eastAsia="Times New Roman" w:hAnsiTheme="minorHAnsi" w:cstheme="minorHAnsi"/>
          <w:sz w:val="24"/>
          <w:szCs w:val="24"/>
        </w:rPr>
        <w:t>decreto legislativo n. 7 marzo 2005, n. 82 (“Codice dell'amministrazione digitale”)</w:t>
      </w:r>
      <w:r w:rsidRPr="00707359">
        <w:rPr>
          <w:rFonts w:asciiTheme="minorHAnsi" w:eastAsia="Times New Roman" w:hAnsiTheme="minorHAnsi" w:cstheme="minorHAnsi"/>
          <w:sz w:val="24"/>
          <w:szCs w:val="24"/>
        </w:rPr>
        <w:t xml:space="preserve">, tramite le piattaforme di approvvigionamento digitale e, per quanto non previsto dalle stesse, mediante utilizzo del domicilio digitale estratto da uno degli indici di cui agli articoli 6-bis, 6-ter, 6-quater, del </w:t>
      </w:r>
      <w:r w:rsidR="00443EB5" w:rsidRPr="00707359">
        <w:rPr>
          <w:rFonts w:asciiTheme="minorHAnsi" w:eastAsia="Times New Roman" w:hAnsiTheme="minorHAnsi" w:cstheme="minorHAnsi"/>
          <w:sz w:val="24"/>
          <w:szCs w:val="24"/>
        </w:rPr>
        <w:t>citato d.lgs. n.</w:t>
      </w:r>
      <w:r w:rsidRPr="00707359">
        <w:rPr>
          <w:rFonts w:asciiTheme="minorHAnsi" w:eastAsia="Times New Roman" w:hAnsiTheme="minorHAnsi" w:cstheme="minorHAnsi"/>
          <w:sz w:val="24"/>
          <w:szCs w:val="24"/>
        </w:rPr>
        <w:t xml:space="preserve"> 82/</w:t>
      </w:r>
      <w:r w:rsidR="00E16FB8" w:rsidRPr="00707359">
        <w:rPr>
          <w:rFonts w:asciiTheme="minorHAnsi" w:eastAsia="Times New Roman" w:hAnsiTheme="minorHAnsi" w:cstheme="minorHAnsi"/>
          <w:sz w:val="24"/>
          <w:szCs w:val="24"/>
        </w:rPr>
        <w:t>20</w:t>
      </w:r>
      <w:r w:rsidR="007E35F7" w:rsidRPr="00707359">
        <w:rPr>
          <w:rFonts w:asciiTheme="minorHAnsi" w:eastAsia="Times New Roman" w:hAnsiTheme="minorHAnsi" w:cstheme="minorHAnsi"/>
          <w:sz w:val="24"/>
          <w:szCs w:val="24"/>
        </w:rPr>
        <w:t>05</w:t>
      </w:r>
      <w:r w:rsidRPr="00707359">
        <w:rPr>
          <w:rFonts w:asciiTheme="minorHAnsi" w:eastAsia="Times New Roman" w:hAnsiTheme="minorHAnsi" w:cstheme="minorHAnsi"/>
          <w:sz w:val="24"/>
          <w:szCs w:val="24"/>
        </w:rPr>
        <w:t xml:space="preserve">. </w:t>
      </w:r>
    </w:p>
    <w:p w14:paraId="6C83D8E0" w14:textId="4BFC6E20" w:rsidR="0076366E" w:rsidRPr="00AF38A8"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707359">
        <w:rPr>
          <w:rFonts w:asciiTheme="minorHAnsi" w:eastAsia="Times New Roman" w:hAnsiTheme="minorHAnsi" w:cstheme="minorHAnsi"/>
          <w:sz w:val="24"/>
          <w:szCs w:val="24"/>
        </w:rPr>
        <w:t>In caso di malfunzionamento della piattaforma</w:t>
      </w:r>
      <w:r w:rsidRPr="00AF38A8">
        <w:rPr>
          <w:rFonts w:asciiTheme="minorHAnsi" w:eastAsia="Times New Roman" w:hAnsiTheme="minorHAnsi" w:cstheme="minorHAnsi"/>
          <w:sz w:val="24"/>
          <w:szCs w:val="24"/>
        </w:rPr>
        <w:t xml:space="preserve">, la stazione appaltante provvederà all’invio di qualsiasi comunicazione al domicilio digitale presente negli indici di cui ai richiamati articoli 6-bis,6-ter, 6 quater del </w:t>
      </w:r>
      <w:r w:rsidR="00443EB5">
        <w:rPr>
          <w:rFonts w:asciiTheme="minorHAnsi" w:eastAsia="Times New Roman" w:hAnsiTheme="minorHAnsi" w:cstheme="minorHAnsi"/>
          <w:sz w:val="24"/>
          <w:szCs w:val="24"/>
        </w:rPr>
        <w:t>d.lgs.</w:t>
      </w:r>
      <w:r w:rsidRPr="00AF38A8">
        <w:rPr>
          <w:rFonts w:asciiTheme="minorHAnsi" w:eastAsia="Times New Roman" w:hAnsiTheme="minorHAnsi" w:cstheme="minorHAnsi"/>
          <w:sz w:val="24"/>
          <w:szCs w:val="24"/>
        </w:rPr>
        <w:t xml:space="preserve"> n.</w:t>
      </w:r>
      <w:r w:rsidR="00443EB5">
        <w:rPr>
          <w:rFonts w:asciiTheme="minorHAnsi" w:eastAsia="Times New Roman" w:hAnsiTheme="minorHAnsi" w:cstheme="minorHAnsi"/>
          <w:sz w:val="24"/>
          <w:szCs w:val="24"/>
        </w:rPr>
        <w:t xml:space="preserve"> </w:t>
      </w:r>
      <w:r w:rsidRPr="00AF38A8">
        <w:rPr>
          <w:rFonts w:asciiTheme="minorHAnsi" w:eastAsia="Times New Roman" w:hAnsiTheme="minorHAnsi" w:cstheme="minorHAnsi"/>
          <w:sz w:val="24"/>
          <w:szCs w:val="24"/>
        </w:rPr>
        <w:t>82/</w:t>
      </w:r>
      <w:r w:rsidR="00E16FB8" w:rsidRPr="00AF38A8">
        <w:rPr>
          <w:rFonts w:asciiTheme="minorHAnsi" w:eastAsia="Times New Roman" w:hAnsiTheme="minorHAnsi" w:cstheme="minorHAnsi"/>
          <w:sz w:val="24"/>
          <w:szCs w:val="24"/>
        </w:rPr>
        <w:t>20</w:t>
      </w:r>
      <w:r w:rsidR="007E35F7" w:rsidRPr="00AF38A8">
        <w:rPr>
          <w:rFonts w:asciiTheme="minorHAnsi" w:eastAsia="Times New Roman" w:hAnsiTheme="minorHAnsi" w:cstheme="minorHAnsi"/>
          <w:sz w:val="24"/>
          <w:szCs w:val="24"/>
        </w:rPr>
        <w:t>05</w:t>
      </w:r>
      <w:r w:rsidRPr="00AF38A8">
        <w:rPr>
          <w:rFonts w:asciiTheme="minorHAnsi" w:eastAsia="Times New Roman" w:hAnsiTheme="minorHAnsi" w:cstheme="minorHAnsi"/>
          <w:sz w:val="24"/>
          <w:szCs w:val="24"/>
        </w:rPr>
        <w:t>.</w:t>
      </w:r>
    </w:p>
    <w:p w14:paraId="1923F98C" w14:textId="77777777" w:rsidR="0076366E" w:rsidRPr="00AF38A8"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w:t>
      </w:r>
      <w:r w:rsidRPr="00AF38A8">
        <w:rPr>
          <w:rFonts w:asciiTheme="minorHAnsi" w:eastAsia="Times New Roman" w:hAnsiTheme="minorHAnsi" w:cstheme="minorHAnsi"/>
          <w:sz w:val="24"/>
          <w:szCs w:val="24"/>
        </w:rPr>
        <w:lastRenderedPageBreak/>
        <w:t>alla presente procedura.</w:t>
      </w:r>
    </w:p>
    <w:p w14:paraId="14292031" w14:textId="612DBB6B" w:rsidR="0076366E" w:rsidRPr="00AF38A8"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caso di consorzi di cui all’art</w:t>
      </w:r>
      <w:r w:rsidR="00443EB5">
        <w:rPr>
          <w:rFonts w:asciiTheme="minorHAnsi" w:eastAsia="Times New Roman" w:hAnsiTheme="minorHAnsi" w:cstheme="minorHAnsi"/>
          <w:sz w:val="24"/>
          <w:szCs w:val="24"/>
        </w:rPr>
        <w:t>icolo</w:t>
      </w:r>
      <w:r w:rsidRPr="00AF38A8">
        <w:rPr>
          <w:rFonts w:asciiTheme="minorHAnsi" w:eastAsia="Times New Roman" w:hAnsiTheme="minorHAnsi" w:cstheme="minorHAnsi"/>
          <w:sz w:val="24"/>
          <w:szCs w:val="24"/>
        </w:rPr>
        <w:t xml:space="preserve"> 6</w:t>
      </w:r>
      <w:r w:rsidR="00D276B6" w:rsidRPr="00AF38A8">
        <w:rPr>
          <w:rFonts w:asciiTheme="minorHAnsi" w:eastAsia="Times New Roman" w:hAnsiTheme="minorHAnsi" w:cstheme="minorHAnsi"/>
          <w:sz w:val="24"/>
          <w:szCs w:val="24"/>
        </w:rPr>
        <w:t>6</w:t>
      </w:r>
      <w:r w:rsidR="00443EB5">
        <w:rPr>
          <w:rFonts w:asciiTheme="minorHAnsi" w:eastAsia="Times New Roman" w:hAnsiTheme="minorHAnsi" w:cstheme="minorHAnsi"/>
          <w:sz w:val="24"/>
          <w:szCs w:val="24"/>
        </w:rPr>
        <w:t>,</w:t>
      </w:r>
      <w:r w:rsidR="00D276B6" w:rsidRPr="00AF38A8">
        <w:rPr>
          <w:rFonts w:asciiTheme="minorHAnsi" w:eastAsia="Times New Roman" w:hAnsiTheme="minorHAnsi" w:cstheme="minorHAnsi"/>
          <w:sz w:val="24"/>
          <w:szCs w:val="24"/>
        </w:rPr>
        <w:t xml:space="preserve"> comma 1</w:t>
      </w:r>
      <w:r w:rsidR="00443EB5">
        <w:rPr>
          <w:rFonts w:asciiTheme="minorHAnsi" w:eastAsia="Times New Roman" w:hAnsiTheme="minorHAnsi" w:cstheme="minorHAnsi"/>
          <w:sz w:val="24"/>
          <w:szCs w:val="24"/>
        </w:rPr>
        <w:t>,</w:t>
      </w:r>
      <w:r w:rsidR="00D276B6" w:rsidRPr="00AF38A8">
        <w:rPr>
          <w:rFonts w:asciiTheme="minorHAnsi" w:eastAsia="Times New Roman" w:hAnsiTheme="minorHAnsi" w:cstheme="minorHAnsi"/>
          <w:sz w:val="24"/>
          <w:szCs w:val="24"/>
        </w:rPr>
        <w:t xml:space="preserve"> lett. g) </w:t>
      </w:r>
      <w:r w:rsidRPr="00AF38A8">
        <w:rPr>
          <w:rFonts w:asciiTheme="minorHAnsi" w:eastAsia="Times New Roman" w:hAnsiTheme="minorHAnsi" w:cstheme="minorHAnsi"/>
          <w:sz w:val="24"/>
          <w:szCs w:val="24"/>
        </w:rPr>
        <w:t>del Codice, la comunicazione recapitata nei modi sopra indicati al consorzio si intende validamente resa a tutte le consorziate.</w:t>
      </w:r>
    </w:p>
    <w:p w14:paraId="08C4B159" w14:textId="41DEBC7C" w:rsidR="0076366E" w:rsidRDefault="00BA3D2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In caso di avvalimento, la comunicazione recapitata all’offerente nei modi sopra indicati si intende validamente resa a tutti gli operatori economici ausiliari. </w:t>
      </w:r>
    </w:p>
    <w:p w14:paraId="18F1BC76" w14:textId="77777777" w:rsidR="00AF38A8" w:rsidRPr="00AF38A8" w:rsidRDefault="00AF38A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7BF2F3C3"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31" w:name="_Toc139277021"/>
      <w:bookmarkStart w:id="32" w:name="_Toc140929817"/>
      <w:bookmarkStart w:id="33" w:name="_Toc141027259"/>
      <w:bookmarkStart w:id="34" w:name="_Toc102466442"/>
      <w:r w:rsidRPr="00AF38A8">
        <w:rPr>
          <w:rFonts w:asciiTheme="minorHAnsi" w:eastAsia="Times New Roman" w:hAnsiTheme="minorHAnsi" w:cstheme="minorHAnsi"/>
          <w:sz w:val="24"/>
          <w:szCs w:val="24"/>
        </w:rPr>
        <w:t>Oggetto dell’appalto, importo e suddivisione in lotti</w:t>
      </w:r>
      <w:bookmarkEnd w:id="31"/>
      <w:bookmarkEnd w:id="32"/>
      <w:bookmarkEnd w:id="33"/>
    </w:p>
    <w:p w14:paraId="4885992A" w14:textId="77777777" w:rsidR="00A91201" w:rsidRPr="00AF38A8" w:rsidRDefault="00A91201"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bookmarkStart w:id="35" w:name="_Hlk140935606"/>
      <w:r w:rsidRPr="00AF38A8">
        <w:rPr>
          <w:rFonts w:asciiTheme="minorHAnsi" w:eastAsia="Times New Roman" w:hAnsiTheme="minorHAnsi" w:cstheme="minorHAnsi"/>
          <w:sz w:val="24"/>
          <w:szCs w:val="24"/>
        </w:rPr>
        <w:t>L’appalto è costituito da un unico lotto poiché … [</w:t>
      </w:r>
      <w:r w:rsidRPr="00AF38A8">
        <w:rPr>
          <w:rFonts w:asciiTheme="minorHAnsi" w:eastAsia="Times New Roman" w:hAnsiTheme="minorHAnsi" w:cstheme="minorHAnsi"/>
          <w:i/>
          <w:sz w:val="24"/>
          <w:szCs w:val="24"/>
        </w:rPr>
        <w:t>motivare la mancata suddivisione in lotti tenendo conto dei princìpi europei sulla promozione di condizioni di concorrenza paritarie per le piccole e medie imprese</w:t>
      </w:r>
      <w:r w:rsidRPr="00AF38A8">
        <w:rPr>
          <w:rFonts w:asciiTheme="minorHAnsi" w:eastAsia="Times New Roman" w:hAnsiTheme="minorHAnsi" w:cstheme="minorHAnsi"/>
          <w:sz w:val="24"/>
          <w:szCs w:val="24"/>
        </w:rPr>
        <w:t>].</w:t>
      </w:r>
    </w:p>
    <w:p w14:paraId="4851C7E2" w14:textId="77777777" w:rsidR="00A91201" w:rsidRPr="00AF38A8" w:rsidRDefault="00A91201" w:rsidP="00BD1359">
      <w:pPr>
        <w:spacing w:line="276" w:lineRule="auto"/>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Tabella n. 1 – Oggetto dell’appalto</w:t>
      </w:r>
    </w:p>
    <w:tbl>
      <w:tblPr>
        <w:tblW w:w="91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49"/>
        <w:gridCol w:w="2625"/>
        <w:gridCol w:w="2161"/>
      </w:tblGrid>
      <w:tr w:rsidR="00A91201" w:rsidRPr="00AF38A8" w14:paraId="78281800" w14:textId="77777777" w:rsidTr="00A91201">
        <w:trPr>
          <w:trHeight w:val="305"/>
          <w:jc w:val="center"/>
        </w:trPr>
        <w:tc>
          <w:tcPr>
            <w:tcW w:w="4349" w:type="dxa"/>
            <w:tcBorders>
              <w:bottom w:val="single" w:sz="4" w:space="0" w:color="000000"/>
            </w:tcBorders>
            <w:shd w:val="clear" w:color="auto" w:fill="D9D9D9"/>
          </w:tcPr>
          <w:p w14:paraId="046E0AF6"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Descrizione delle prestazioni</w:t>
            </w:r>
          </w:p>
        </w:tc>
        <w:tc>
          <w:tcPr>
            <w:tcW w:w="2625" w:type="dxa"/>
            <w:shd w:val="clear" w:color="auto" w:fill="D9D9D9"/>
          </w:tcPr>
          <w:p w14:paraId="0CA73B63"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CPV</w:t>
            </w:r>
          </w:p>
        </w:tc>
        <w:tc>
          <w:tcPr>
            <w:tcW w:w="2161" w:type="dxa"/>
            <w:tcBorders>
              <w:bottom w:val="single" w:sz="4" w:space="0" w:color="000000"/>
            </w:tcBorders>
            <w:shd w:val="clear" w:color="auto" w:fill="D9D9D9"/>
          </w:tcPr>
          <w:p w14:paraId="069E0B67"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Importo</w:t>
            </w:r>
          </w:p>
        </w:tc>
      </w:tr>
      <w:tr w:rsidR="00A91201" w:rsidRPr="00AF38A8" w14:paraId="73EBA2C3" w14:textId="77777777" w:rsidTr="00A91201">
        <w:trPr>
          <w:trHeight w:val="855"/>
          <w:jc w:val="center"/>
        </w:trPr>
        <w:tc>
          <w:tcPr>
            <w:tcW w:w="4349" w:type="dxa"/>
            <w:tcBorders>
              <w:top w:val="single" w:sz="4" w:space="0" w:color="000000"/>
              <w:left w:val="single" w:sz="4" w:space="0" w:color="000000"/>
              <w:bottom w:val="single" w:sz="4" w:space="0" w:color="000000"/>
              <w:right w:val="single" w:sz="4" w:space="0" w:color="000000"/>
            </w:tcBorders>
          </w:tcPr>
          <w:p w14:paraId="352DB0EF" w14:textId="77777777" w:rsidR="00A91201" w:rsidRPr="00AF38A8" w:rsidRDefault="00A91201" w:rsidP="00BD1359">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p w14:paraId="34E9A142" w14:textId="77777777" w:rsidR="00A91201" w:rsidRPr="00AF38A8" w:rsidRDefault="00A91201" w:rsidP="00BD1359">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[ad es. progettazione]</w:t>
            </w:r>
          </w:p>
        </w:tc>
        <w:tc>
          <w:tcPr>
            <w:tcW w:w="2625" w:type="dxa"/>
            <w:tcBorders>
              <w:left w:val="single" w:sz="4" w:space="0" w:color="000000"/>
              <w:bottom w:val="single" w:sz="4" w:space="0" w:color="000000"/>
              <w:right w:val="single" w:sz="4" w:space="0" w:color="000000"/>
            </w:tcBorders>
          </w:tcPr>
          <w:p w14:paraId="01DC320E" w14:textId="77777777" w:rsidR="00A91201" w:rsidRPr="00AF38A8" w:rsidRDefault="00A91201" w:rsidP="00BD1359">
            <w:pPr>
              <w:pBdr>
                <w:top w:val="nil"/>
                <w:left w:val="nil"/>
                <w:bottom w:val="nil"/>
                <w:right w:val="nil"/>
                <w:between w:val="nil"/>
              </w:pBdr>
              <w:spacing w:line="276" w:lineRule="auto"/>
              <w:ind w:left="15"/>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7778E4BA" w14:textId="77777777" w:rsidR="00A91201" w:rsidRPr="00AF38A8" w:rsidRDefault="00A91201" w:rsidP="00BD1359">
            <w:pPr>
              <w:pBdr>
                <w:top w:val="nil"/>
                <w:left w:val="nil"/>
                <w:bottom w:val="nil"/>
                <w:right w:val="nil"/>
                <w:between w:val="nil"/>
              </w:pBdr>
              <w:spacing w:line="276" w:lineRule="auto"/>
              <w:ind w:left="266"/>
              <w:jc w:val="center"/>
              <w:rPr>
                <w:rFonts w:asciiTheme="minorHAnsi" w:eastAsia="Times New Roman" w:hAnsiTheme="minorHAnsi" w:cstheme="minorHAnsi"/>
                <w:i/>
                <w:szCs w:val="24"/>
              </w:rPr>
            </w:pPr>
          </w:p>
        </w:tc>
      </w:tr>
      <w:tr w:rsidR="00A91201" w:rsidRPr="00AF38A8" w14:paraId="074CE57B" w14:textId="77777777" w:rsidTr="00A91201">
        <w:trPr>
          <w:trHeight w:val="854"/>
          <w:jc w:val="center"/>
        </w:trPr>
        <w:tc>
          <w:tcPr>
            <w:tcW w:w="4349" w:type="dxa"/>
            <w:tcBorders>
              <w:top w:val="single" w:sz="4" w:space="0" w:color="000000"/>
              <w:left w:val="single" w:sz="4" w:space="0" w:color="000000"/>
              <w:bottom w:val="single" w:sz="4" w:space="0" w:color="000000"/>
              <w:right w:val="single" w:sz="4" w:space="0" w:color="000000"/>
            </w:tcBorders>
          </w:tcPr>
          <w:p w14:paraId="31D0190A" w14:textId="77777777" w:rsidR="00A91201" w:rsidRPr="00AF38A8" w:rsidRDefault="00A91201" w:rsidP="00BD1359">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p w14:paraId="175D5466" w14:textId="77777777" w:rsidR="00A91201" w:rsidRPr="00AF38A8" w:rsidRDefault="00A91201" w:rsidP="00BD1359">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[ad e. coordinamento sicurezza in fase di progettazione]</w:t>
            </w:r>
          </w:p>
        </w:tc>
        <w:tc>
          <w:tcPr>
            <w:tcW w:w="2625" w:type="dxa"/>
            <w:tcBorders>
              <w:top w:val="single" w:sz="4" w:space="0" w:color="000000"/>
              <w:left w:val="single" w:sz="4" w:space="0" w:color="000000"/>
              <w:bottom w:val="single" w:sz="4" w:space="0" w:color="000000"/>
              <w:right w:val="single" w:sz="4" w:space="0" w:color="000000"/>
            </w:tcBorders>
          </w:tcPr>
          <w:p w14:paraId="727B96A2" w14:textId="77777777" w:rsidR="00A91201" w:rsidRPr="00AF38A8" w:rsidRDefault="00A91201" w:rsidP="00BD1359">
            <w:pPr>
              <w:pBdr>
                <w:top w:val="nil"/>
                <w:left w:val="nil"/>
                <w:bottom w:val="nil"/>
                <w:right w:val="nil"/>
                <w:between w:val="nil"/>
              </w:pBdr>
              <w:spacing w:line="276" w:lineRule="auto"/>
              <w:ind w:left="15"/>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0A4EACEE" w14:textId="77777777" w:rsidR="00A91201" w:rsidRPr="00AF38A8" w:rsidRDefault="00A91201" w:rsidP="00BD1359">
            <w:pPr>
              <w:pBdr>
                <w:top w:val="nil"/>
                <w:left w:val="nil"/>
                <w:bottom w:val="nil"/>
                <w:right w:val="nil"/>
                <w:between w:val="nil"/>
              </w:pBdr>
              <w:spacing w:line="276" w:lineRule="auto"/>
              <w:ind w:left="266"/>
              <w:jc w:val="center"/>
              <w:rPr>
                <w:rFonts w:asciiTheme="minorHAnsi" w:eastAsia="Times New Roman" w:hAnsiTheme="minorHAnsi" w:cstheme="minorHAnsi"/>
                <w:i/>
                <w:szCs w:val="24"/>
              </w:rPr>
            </w:pPr>
          </w:p>
        </w:tc>
      </w:tr>
      <w:tr w:rsidR="00A91201" w:rsidRPr="00AF38A8" w14:paraId="34835A9D" w14:textId="77777777" w:rsidTr="00A91201">
        <w:trPr>
          <w:trHeight w:val="456"/>
          <w:jc w:val="center"/>
        </w:trPr>
        <w:tc>
          <w:tcPr>
            <w:tcW w:w="4349" w:type="dxa"/>
            <w:tcBorders>
              <w:top w:val="single" w:sz="4" w:space="0" w:color="000000"/>
              <w:left w:val="single" w:sz="4" w:space="0" w:color="000000"/>
              <w:bottom w:val="single" w:sz="4" w:space="0" w:color="000000"/>
              <w:right w:val="single" w:sz="4" w:space="0" w:color="000000"/>
            </w:tcBorders>
          </w:tcPr>
          <w:p w14:paraId="2C0C49F2" w14:textId="33AAF524" w:rsidR="00A91201" w:rsidRPr="00AF38A8" w:rsidRDefault="00443EB5" w:rsidP="00BD1359">
            <w:pPr>
              <w:pBdr>
                <w:top w:val="nil"/>
                <w:left w:val="nil"/>
                <w:bottom w:val="nil"/>
                <w:right w:val="nil"/>
                <w:between w:val="nil"/>
              </w:pBdr>
              <w:spacing w:line="276" w:lineRule="auto"/>
              <w:ind w:left="400"/>
              <w:jc w:val="center"/>
              <w:rPr>
                <w:rFonts w:asciiTheme="minorHAnsi" w:eastAsia="Times New Roman" w:hAnsiTheme="minorHAnsi" w:cstheme="minorHAnsi"/>
                <w:bCs/>
                <w:i/>
                <w:iCs/>
                <w:szCs w:val="24"/>
              </w:rPr>
            </w:pPr>
            <w:r>
              <w:rPr>
                <w:rFonts w:asciiTheme="minorHAnsi" w:eastAsia="Times New Roman" w:hAnsiTheme="minorHAnsi" w:cstheme="minorHAnsi"/>
                <w:bCs/>
                <w:i/>
                <w:iCs/>
                <w:szCs w:val="24"/>
              </w:rPr>
              <w:t>[d</w:t>
            </w:r>
            <w:r w:rsidR="00A91201" w:rsidRPr="00AF38A8">
              <w:rPr>
                <w:rFonts w:asciiTheme="minorHAnsi" w:eastAsia="Times New Roman" w:hAnsiTheme="minorHAnsi" w:cstheme="minorHAnsi"/>
                <w:bCs/>
                <w:i/>
                <w:iCs/>
                <w:szCs w:val="24"/>
              </w:rPr>
              <w:t xml:space="preserve">irezione </w:t>
            </w:r>
            <w:r w:rsidR="00665D42">
              <w:rPr>
                <w:rFonts w:asciiTheme="minorHAnsi" w:eastAsia="Times New Roman" w:hAnsiTheme="minorHAnsi" w:cstheme="minorHAnsi"/>
                <w:bCs/>
                <w:i/>
                <w:iCs/>
                <w:szCs w:val="24"/>
              </w:rPr>
              <w:t>l</w:t>
            </w:r>
            <w:r w:rsidR="00A91201" w:rsidRPr="00AF38A8">
              <w:rPr>
                <w:rFonts w:asciiTheme="minorHAnsi" w:eastAsia="Times New Roman" w:hAnsiTheme="minorHAnsi" w:cstheme="minorHAnsi"/>
                <w:bCs/>
                <w:i/>
                <w:iCs/>
                <w:szCs w:val="24"/>
              </w:rPr>
              <w:t>avori e di coordinamento della sicurezza in fase di esecuzione</w:t>
            </w:r>
            <w:r>
              <w:rPr>
                <w:rFonts w:asciiTheme="minorHAnsi" w:eastAsia="Times New Roman" w:hAnsiTheme="minorHAnsi" w:cstheme="minorHAnsi"/>
                <w:bCs/>
                <w:i/>
                <w:iCs/>
                <w:szCs w:val="24"/>
              </w:rPr>
              <w:t>,</w:t>
            </w:r>
            <w:r w:rsidR="00A91201" w:rsidRPr="00AF38A8">
              <w:rPr>
                <w:rFonts w:asciiTheme="minorHAnsi" w:eastAsia="Times New Roman" w:hAnsiTheme="minorHAnsi" w:cstheme="minorHAnsi"/>
                <w:bCs/>
                <w:i/>
                <w:iCs/>
                <w:szCs w:val="24"/>
              </w:rPr>
              <w:t xml:space="preserve"> se prevista come opzione</w:t>
            </w:r>
            <w:r>
              <w:rPr>
                <w:rFonts w:asciiTheme="minorHAnsi" w:eastAsia="Times New Roman" w:hAnsiTheme="minorHAnsi" w:cstheme="minorHAnsi"/>
                <w:bCs/>
                <w:i/>
                <w:iCs/>
                <w:szCs w:val="24"/>
              </w:rPr>
              <w:t>]</w:t>
            </w:r>
          </w:p>
        </w:tc>
        <w:tc>
          <w:tcPr>
            <w:tcW w:w="2625" w:type="dxa"/>
            <w:tcBorders>
              <w:top w:val="single" w:sz="4" w:space="0" w:color="000000"/>
              <w:left w:val="single" w:sz="4" w:space="0" w:color="000000"/>
              <w:bottom w:val="single" w:sz="4" w:space="0" w:color="000000"/>
              <w:right w:val="single" w:sz="4" w:space="0" w:color="000000"/>
            </w:tcBorders>
          </w:tcPr>
          <w:p w14:paraId="6E7D8D79" w14:textId="77777777" w:rsidR="00A91201" w:rsidRPr="00AF38A8" w:rsidRDefault="00A91201" w:rsidP="00BD1359">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61A93C83" w14:textId="77777777" w:rsidR="00A91201" w:rsidRPr="00AF38A8" w:rsidRDefault="00A91201" w:rsidP="00BD1359">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r>
      <w:tr w:rsidR="00A91201" w:rsidRPr="00AF38A8" w14:paraId="66D63FF7" w14:textId="77777777" w:rsidTr="00A91201">
        <w:trPr>
          <w:trHeight w:val="456"/>
          <w:jc w:val="center"/>
        </w:trPr>
        <w:tc>
          <w:tcPr>
            <w:tcW w:w="4349" w:type="dxa"/>
            <w:tcBorders>
              <w:top w:val="single" w:sz="4" w:space="0" w:color="000000"/>
              <w:left w:val="single" w:sz="4" w:space="0" w:color="000000"/>
              <w:bottom w:val="single" w:sz="4" w:space="0" w:color="000000"/>
              <w:right w:val="single" w:sz="4" w:space="0" w:color="000000"/>
            </w:tcBorders>
          </w:tcPr>
          <w:p w14:paraId="2E37F787" w14:textId="77777777" w:rsidR="00A91201" w:rsidRPr="00AF38A8" w:rsidRDefault="00A91201" w:rsidP="00BD1359">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625" w:type="dxa"/>
            <w:tcBorders>
              <w:top w:val="single" w:sz="4" w:space="0" w:color="000000"/>
              <w:left w:val="single" w:sz="4" w:space="0" w:color="000000"/>
              <w:bottom w:val="single" w:sz="4" w:space="0" w:color="000000"/>
              <w:right w:val="single" w:sz="4" w:space="0" w:color="000000"/>
            </w:tcBorders>
          </w:tcPr>
          <w:p w14:paraId="341FBC40" w14:textId="77777777" w:rsidR="00A91201" w:rsidRPr="00AF38A8" w:rsidRDefault="00A91201" w:rsidP="00BD1359">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4085C4A8" w14:textId="77777777" w:rsidR="00A91201" w:rsidRPr="00AF38A8" w:rsidRDefault="00A91201" w:rsidP="00BD1359">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r>
      <w:tr w:rsidR="00A91201" w:rsidRPr="00AF38A8" w14:paraId="106CE7BF" w14:textId="77777777" w:rsidTr="00A91201">
        <w:trPr>
          <w:trHeight w:val="456"/>
          <w:jc w:val="center"/>
        </w:trPr>
        <w:tc>
          <w:tcPr>
            <w:tcW w:w="6974" w:type="dxa"/>
            <w:gridSpan w:val="2"/>
            <w:tcBorders>
              <w:top w:val="single" w:sz="4" w:space="0" w:color="000000"/>
              <w:left w:val="single" w:sz="4" w:space="0" w:color="000000"/>
              <w:bottom w:val="single" w:sz="4" w:space="0" w:color="000000"/>
              <w:right w:val="single" w:sz="4" w:space="0" w:color="000000"/>
            </w:tcBorders>
          </w:tcPr>
          <w:p w14:paraId="4460C5E4" w14:textId="77777777" w:rsidR="00A91201" w:rsidRPr="00AF38A8" w:rsidRDefault="00A91201" w:rsidP="00BD1359">
            <w:pPr>
              <w:pBdr>
                <w:top w:val="nil"/>
                <w:left w:val="nil"/>
                <w:bottom w:val="nil"/>
                <w:right w:val="nil"/>
                <w:between w:val="nil"/>
              </w:pBdr>
              <w:spacing w:line="276" w:lineRule="auto"/>
              <w:ind w:left="3829"/>
              <w:rPr>
                <w:rFonts w:asciiTheme="minorHAnsi" w:eastAsia="Times New Roman" w:hAnsiTheme="minorHAnsi" w:cstheme="minorHAnsi"/>
                <w:b/>
                <w:szCs w:val="24"/>
              </w:rPr>
            </w:pPr>
            <w:r w:rsidRPr="00AF38A8">
              <w:rPr>
                <w:rFonts w:asciiTheme="minorHAnsi" w:eastAsia="Times New Roman" w:hAnsiTheme="minorHAnsi" w:cstheme="minorHAnsi"/>
                <w:b/>
                <w:szCs w:val="24"/>
              </w:rPr>
              <w:t>Importo totale a base di gara</w:t>
            </w:r>
          </w:p>
        </w:tc>
        <w:tc>
          <w:tcPr>
            <w:tcW w:w="2161" w:type="dxa"/>
            <w:tcBorders>
              <w:top w:val="single" w:sz="4" w:space="0" w:color="000000"/>
              <w:left w:val="single" w:sz="4" w:space="0" w:color="000000"/>
              <w:bottom w:val="single" w:sz="4" w:space="0" w:color="000000"/>
              <w:right w:val="single" w:sz="4" w:space="0" w:color="000000"/>
            </w:tcBorders>
          </w:tcPr>
          <w:p w14:paraId="4F948987" w14:textId="77777777" w:rsidR="00A91201" w:rsidRPr="00AF38A8" w:rsidRDefault="00A91201" w:rsidP="00BD1359">
            <w:pPr>
              <w:pBdr>
                <w:top w:val="nil"/>
                <w:left w:val="nil"/>
                <w:bottom w:val="nil"/>
                <w:right w:val="nil"/>
                <w:between w:val="nil"/>
              </w:pBdr>
              <w:spacing w:line="276" w:lineRule="auto"/>
              <w:ind w:left="265"/>
              <w:jc w:val="center"/>
              <w:rPr>
                <w:rFonts w:asciiTheme="minorHAnsi" w:eastAsia="Times New Roman" w:hAnsiTheme="minorHAnsi" w:cstheme="minorHAnsi"/>
                <w:b/>
                <w:szCs w:val="24"/>
              </w:rPr>
            </w:pPr>
            <w:r w:rsidRPr="00AF38A8">
              <w:rPr>
                <w:rFonts w:asciiTheme="minorHAnsi" w:eastAsia="Times New Roman" w:hAnsiTheme="minorHAnsi" w:cstheme="minorHAnsi"/>
                <w:b/>
                <w:szCs w:val="24"/>
              </w:rPr>
              <w:t>....</w:t>
            </w:r>
          </w:p>
        </w:tc>
      </w:tr>
    </w:tbl>
    <w:p w14:paraId="3D034CD9" w14:textId="77777777" w:rsidR="00A91201" w:rsidRPr="00AF38A8" w:rsidRDefault="00A91201"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stazione appaltante si riserva di affidare l’incarico di Direzione Lavori e di coordinamento della sicurezza in fase di esecuzione al progettista solo dopo l'approvazione del progetto da parte del Commissario straordinario ai sensi dell’art. 4, comma 4, dell’Ordinanza n. 56 del 10/05/2018.</w:t>
      </w:r>
    </w:p>
    <w:p w14:paraId="42A7FF18" w14:textId="13CA5927" w:rsidR="00A91201" w:rsidRPr="00AF38A8" w:rsidRDefault="00A91201"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Si applicano, al direttore dei lavori, i divieti previsti dall’articolo 34, comma 4</w:t>
      </w:r>
      <w:r w:rsidR="00443EB5">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decreto legge </w:t>
      </w:r>
      <w:r w:rsidR="00443EB5" w:rsidRPr="00443EB5">
        <w:rPr>
          <w:rFonts w:asciiTheme="minorHAnsi" w:eastAsia="Times New Roman" w:hAnsiTheme="minorHAnsi" w:cstheme="minorHAnsi"/>
          <w:sz w:val="24"/>
          <w:szCs w:val="24"/>
        </w:rPr>
        <w:t>17 ottobre 2016, n. 189 (</w:t>
      </w:r>
      <w:r w:rsidR="00443EB5">
        <w:rPr>
          <w:rFonts w:asciiTheme="minorHAnsi" w:eastAsia="Times New Roman" w:hAnsiTheme="minorHAnsi" w:cstheme="minorHAnsi"/>
          <w:sz w:val="24"/>
          <w:szCs w:val="24"/>
        </w:rPr>
        <w:t>“</w:t>
      </w:r>
      <w:r w:rsidR="00443EB5" w:rsidRPr="00443EB5">
        <w:rPr>
          <w:rFonts w:asciiTheme="minorHAnsi" w:eastAsia="Times New Roman" w:hAnsiTheme="minorHAnsi" w:cstheme="minorHAnsi"/>
          <w:i/>
          <w:sz w:val="24"/>
          <w:szCs w:val="24"/>
        </w:rPr>
        <w:t>Interventi urgenti in favore delle popolazioni colpite dagli eventi sismici del 2016</w:t>
      </w:r>
      <w:r w:rsidR="00443EB5">
        <w:rPr>
          <w:rFonts w:asciiTheme="minorHAnsi" w:eastAsia="Times New Roman" w:hAnsiTheme="minorHAnsi" w:cstheme="minorHAnsi"/>
          <w:i/>
          <w:sz w:val="24"/>
          <w:szCs w:val="24"/>
        </w:rPr>
        <w:t>”</w:t>
      </w:r>
      <w:r w:rsidR="00443EB5" w:rsidRPr="00443EB5">
        <w:rPr>
          <w:rFonts w:asciiTheme="minorHAnsi" w:eastAsia="Times New Roman" w:hAnsiTheme="minorHAnsi" w:cstheme="minorHAnsi"/>
          <w:sz w:val="24"/>
          <w:szCs w:val="24"/>
        </w:rPr>
        <w:t>)</w:t>
      </w:r>
      <w:r w:rsidR="00443EB5">
        <w:rPr>
          <w:rFonts w:asciiTheme="minorHAnsi" w:eastAsia="Times New Roman" w:hAnsiTheme="minorHAnsi" w:cstheme="minorHAnsi"/>
          <w:sz w:val="24"/>
          <w:szCs w:val="24"/>
        </w:rPr>
        <w:t>,</w:t>
      </w:r>
      <w:r w:rsidR="00443EB5" w:rsidRPr="00443EB5">
        <w:rPr>
          <w:rFonts w:asciiTheme="minorHAnsi" w:eastAsia="Times New Roman" w:hAnsiTheme="minorHAnsi" w:cstheme="minorHAnsi"/>
          <w:sz w:val="24"/>
          <w:szCs w:val="24"/>
        </w:rPr>
        <w:t xml:space="preserve"> convertito con modificazioni dalla </w:t>
      </w:r>
      <w:r w:rsidR="00443EB5">
        <w:rPr>
          <w:rFonts w:asciiTheme="minorHAnsi" w:eastAsia="Times New Roman" w:hAnsiTheme="minorHAnsi" w:cstheme="minorHAnsi"/>
          <w:sz w:val="24"/>
          <w:szCs w:val="24"/>
        </w:rPr>
        <w:t>legge</w:t>
      </w:r>
      <w:r w:rsidR="00443EB5" w:rsidRPr="00443EB5">
        <w:rPr>
          <w:rFonts w:asciiTheme="minorHAnsi" w:eastAsia="Times New Roman" w:hAnsiTheme="minorHAnsi" w:cstheme="minorHAnsi"/>
          <w:sz w:val="24"/>
          <w:szCs w:val="24"/>
        </w:rPr>
        <w:t xml:space="preserve"> 15 dicembre 2016, n. 229</w:t>
      </w:r>
      <w:r w:rsidRPr="00AF38A8">
        <w:rPr>
          <w:rFonts w:asciiTheme="minorHAnsi" w:eastAsia="Times New Roman" w:hAnsiTheme="minorHAnsi" w:cstheme="minorHAnsi"/>
          <w:sz w:val="24"/>
          <w:szCs w:val="24"/>
        </w:rPr>
        <w:t>.</w:t>
      </w:r>
    </w:p>
    <w:p w14:paraId="41F20287" w14:textId="77777777" w:rsidR="00A91201" w:rsidRPr="00AF38A8" w:rsidRDefault="00A91201"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L’importo a base di gara è </w:t>
      </w:r>
      <w:r w:rsidRPr="00443EB5">
        <w:rPr>
          <w:rFonts w:asciiTheme="minorHAnsi" w:eastAsia="Times New Roman" w:hAnsiTheme="minorHAnsi" w:cstheme="minorHAnsi"/>
          <w:b/>
          <w:sz w:val="24"/>
          <w:szCs w:val="24"/>
        </w:rPr>
        <w:t>al netto di oneri previdenziali e assistenziali e IVA</w:t>
      </w:r>
      <w:r w:rsidRPr="00AF38A8">
        <w:rPr>
          <w:rFonts w:asciiTheme="minorHAnsi" w:eastAsia="Times New Roman" w:hAnsiTheme="minorHAnsi" w:cstheme="minorHAnsi"/>
          <w:sz w:val="24"/>
          <w:szCs w:val="24"/>
        </w:rPr>
        <w:t>.</w:t>
      </w:r>
    </w:p>
    <w:p w14:paraId="7C57C177" w14:textId="77777777" w:rsidR="00A91201" w:rsidRPr="00443EB5" w:rsidRDefault="00A91201"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L’importo a base di gara è stato calcolato ai sensi dell’allegato I.13 al Codice "</w:t>
      </w:r>
      <w:r w:rsidRPr="00AF38A8">
        <w:rPr>
          <w:rFonts w:asciiTheme="minorHAnsi" w:eastAsia="Times New Roman" w:hAnsiTheme="minorHAnsi" w:cstheme="minorHAnsi"/>
          <w:i/>
          <w:sz w:val="24"/>
          <w:szCs w:val="24"/>
        </w:rPr>
        <w:t>Determinazione dei parametri per la progettazione</w:t>
      </w:r>
      <w:r w:rsidRPr="00AF38A8">
        <w:rPr>
          <w:rFonts w:asciiTheme="minorHAnsi" w:eastAsia="Times New Roman" w:hAnsiTheme="minorHAnsi" w:cstheme="minorHAnsi"/>
          <w:sz w:val="24"/>
          <w:szCs w:val="24"/>
        </w:rPr>
        <w:t xml:space="preserve">" e del d.m. 17.06.2016, </w:t>
      </w:r>
      <w:r w:rsidRPr="00443EB5">
        <w:rPr>
          <w:rFonts w:asciiTheme="minorHAnsi" w:eastAsia="Times New Roman" w:hAnsiTheme="minorHAnsi" w:cstheme="minorHAnsi"/>
          <w:sz w:val="24"/>
          <w:szCs w:val="24"/>
        </w:rPr>
        <w:t>come da schema di determinazione dei corrispettivi.</w:t>
      </w:r>
    </w:p>
    <w:p w14:paraId="2B71A197" w14:textId="77777777" w:rsidR="00A91201" w:rsidRPr="00AF38A8" w:rsidRDefault="00A91201"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corrispettivo del servizio resta compreso anche l’onorario per l’attività necessaria alla predisposizione degli elaborati connessi all’ottenimento di tutti i pareri, nulla osta e autorizzazioni della bisogna.</w:t>
      </w:r>
    </w:p>
    <w:p w14:paraId="4150F632" w14:textId="77777777" w:rsidR="00A91201" w:rsidRPr="00AF38A8" w:rsidRDefault="00A91201"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5A01BBEC" w14:textId="713BDF0F" w:rsidR="00A91201" w:rsidRPr="00AF38A8" w:rsidRDefault="00A91201"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In considerazione della natura intellettuale del servizio, non ricorrono rischi di interferenze e, </w:t>
      </w:r>
      <w:r w:rsidRPr="00AF38A8">
        <w:rPr>
          <w:rFonts w:asciiTheme="minorHAnsi" w:eastAsia="Times New Roman" w:hAnsiTheme="minorHAnsi" w:cstheme="minorHAnsi"/>
          <w:sz w:val="24"/>
          <w:szCs w:val="24"/>
        </w:rPr>
        <w:lastRenderedPageBreak/>
        <w:t xml:space="preserve">pertanto, non sussiste l’obbligo di redazione del DUVRI, ai sensi dell’art. 26, comma 3-bis, del d.lgs. </w:t>
      </w:r>
      <w:r w:rsidR="00443EB5">
        <w:rPr>
          <w:rFonts w:asciiTheme="minorHAnsi" w:eastAsia="Times New Roman" w:hAnsiTheme="minorHAnsi" w:cstheme="minorHAnsi"/>
          <w:sz w:val="24"/>
          <w:szCs w:val="24"/>
        </w:rPr>
        <w:t xml:space="preserve">n. </w:t>
      </w:r>
      <w:r w:rsidRPr="00AF38A8">
        <w:rPr>
          <w:rFonts w:asciiTheme="minorHAnsi" w:eastAsia="Times New Roman" w:hAnsiTheme="minorHAnsi" w:cstheme="minorHAnsi"/>
          <w:sz w:val="24"/>
          <w:szCs w:val="24"/>
        </w:rPr>
        <w:t>81/2008.</w:t>
      </w:r>
    </w:p>
    <w:p w14:paraId="0F932BD2" w14:textId="77777777" w:rsidR="00A91201" w:rsidRPr="00AF38A8" w:rsidRDefault="00A91201"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prestazione principale è quella relativa a…………….[</w:t>
      </w:r>
      <w:r w:rsidRPr="00AF38A8">
        <w:rPr>
          <w:rFonts w:asciiTheme="minorHAnsi" w:eastAsia="Times New Roman" w:hAnsiTheme="minorHAnsi" w:cstheme="minorHAnsi"/>
          <w:i/>
          <w:sz w:val="24"/>
          <w:szCs w:val="24"/>
        </w:rPr>
        <w:t>la stazione appaltante indica la categoria e ID</w:t>
      </w:r>
      <w:r w:rsidRPr="00AF38A8">
        <w:rPr>
          <w:rFonts w:asciiTheme="minorHAnsi" w:eastAsia="Times New Roman" w:hAnsiTheme="minorHAnsi" w:cstheme="minorHAnsi"/>
          <w:sz w:val="24"/>
          <w:szCs w:val="24"/>
        </w:rPr>
        <w:t>].</w:t>
      </w:r>
    </w:p>
    <w:p w14:paraId="1C04DE06" w14:textId="77777777" w:rsidR="00A91201" w:rsidRPr="00AF38A8" w:rsidRDefault="00A91201" w:rsidP="00BD1359">
      <w:pPr>
        <w:spacing w:line="276" w:lineRule="auto"/>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Si riporta nelle successive tabelle, l’elenco dettagliato delle prestazioni e dei relativi corrispettivi da compilare come segue: </w:t>
      </w:r>
    </w:p>
    <w:p w14:paraId="01C651A4" w14:textId="759A18B6" w:rsidR="00A91201" w:rsidRPr="00AF38A8" w:rsidRDefault="00A91201" w:rsidP="00BD1359">
      <w:pPr>
        <w:numPr>
          <w:ilvl w:val="0"/>
          <w:numId w:val="6"/>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Incarico di </w:t>
      </w:r>
      <w:r w:rsidRPr="00AF38A8">
        <w:rPr>
          <w:rFonts w:asciiTheme="minorHAnsi" w:eastAsia="Times New Roman" w:hAnsiTheme="minorHAnsi" w:cstheme="minorHAnsi"/>
          <w:i/>
          <w:sz w:val="24"/>
          <w:szCs w:val="24"/>
        </w:rPr>
        <w:t>……</w:t>
      </w:r>
      <w:r w:rsidRPr="00AF38A8">
        <w:rPr>
          <w:rFonts w:asciiTheme="minorHAnsi" w:eastAsia="Times New Roman" w:hAnsiTheme="minorHAnsi" w:cstheme="minorHAnsi"/>
          <w:b/>
          <w:i/>
          <w:sz w:val="24"/>
          <w:szCs w:val="24"/>
        </w:rPr>
        <w:t xml:space="preserve"> </w:t>
      </w:r>
      <w:r w:rsidRPr="00AF38A8">
        <w:rPr>
          <w:rFonts w:asciiTheme="minorHAnsi" w:eastAsia="Times New Roman" w:hAnsiTheme="minorHAnsi" w:cstheme="minorHAnsi"/>
          <w:i/>
          <w:sz w:val="24"/>
          <w:szCs w:val="24"/>
        </w:rPr>
        <w:t xml:space="preserve">[ad es. progettazione] – inserire tabella categorie e ID opere – grado di complessità – importo delle opere – specificità della prestazione – importo corrispettivo e spese ed oneri </w:t>
      </w:r>
    </w:p>
    <w:p w14:paraId="3036C2AB" w14:textId="77777777" w:rsidR="00A91201" w:rsidRPr="00AF38A8" w:rsidRDefault="00A91201" w:rsidP="00BD1359">
      <w:pPr>
        <w:numPr>
          <w:ilvl w:val="0"/>
          <w:numId w:val="6"/>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i/>
          <w:sz w:val="24"/>
          <w:szCs w:val="24"/>
        </w:rPr>
        <w:t>Riportare per ogni incarico [ad es. coordinamento sicurezza in fase di progettazione]</w:t>
      </w:r>
    </w:p>
    <w:p w14:paraId="3FD6D58B"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i/>
          <w:sz w:val="24"/>
          <w:szCs w:val="24"/>
        </w:rPr>
      </w:pPr>
    </w:p>
    <w:p w14:paraId="2FCB018D" w14:textId="77777777" w:rsidR="00A91201" w:rsidRPr="001D7F02" w:rsidRDefault="00A91201"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1D7F02">
        <w:rPr>
          <w:rFonts w:ascii="Titillium" w:hAnsi="Titillium"/>
          <w:i/>
          <w:sz w:val="18"/>
          <w:szCs w:val="18"/>
        </w:rPr>
        <w:t>N.B.: nell’importo dell’appalto vanno considerate, ove previste, anche le prestazioni riconducibili all’art. 6 del d.m. 17.6.2016, espressamente richiamato dall’allegato I.13, determinandone il corrispettivo secondo i criteri ivi indicati.</w:t>
      </w:r>
    </w:p>
    <w:p w14:paraId="47CBE448" w14:textId="77777777" w:rsidR="00443EB5" w:rsidRDefault="00A91201" w:rsidP="00BD1359">
      <w:pPr>
        <w:spacing w:line="276" w:lineRule="auto"/>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 </w:t>
      </w:r>
    </w:p>
    <w:p w14:paraId="1A073FB6" w14:textId="09602083" w:rsidR="00A91201" w:rsidRPr="00AF38A8" w:rsidRDefault="00A91201" w:rsidP="00BD1359">
      <w:pPr>
        <w:spacing w:line="276" w:lineRule="auto"/>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Tabella n. 2 –Categorie, ID e tariffe</w:t>
      </w:r>
    </w:p>
    <w:p w14:paraId="2323F984" w14:textId="77777777" w:rsidR="00A91201" w:rsidRPr="00AF38A8" w:rsidRDefault="00A91201" w:rsidP="00BD1359">
      <w:pPr>
        <w:spacing w:line="276" w:lineRule="auto"/>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Incarico di</w:t>
      </w:r>
      <w:r w:rsidRPr="00AF38A8">
        <w:rPr>
          <w:rFonts w:asciiTheme="minorHAnsi" w:eastAsia="Times New Roman" w:hAnsiTheme="minorHAnsi" w:cstheme="minorHAnsi"/>
          <w:i/>
          <w:sz w:val="24"/>
          <w:szCs w:val="24"/>
        </w:rPr>
        <w:t>…..(ad es. progettazione)</w:t>
      </w: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75"/>
        <w:gridCol w:w="1418"/>
        <w:gridCol w:w="1417"/>
        <w:gridCol w:w="1134"/>
        <w:gridCol w:w="1271"/>
        <w:gridCol w:w="1276"/>
        <w:gridCol w:w="1276"/>
      </w:tblGrid>
      <w:tr w:rsidR="00A91201" w:rsidRPr="00AF38A8" w14:paraId="721959F0" w14:textId="77777777" w:rsidTr="00443EB5">
        <w:trPr>
          <w:trHeight w:val="340"/>
          <w:jc w:val="center"/>
        </w:trPr>
        <w:tc>
          <w:tcPr>
            <w:tcW w:w="1555" w:type="dxa"/>
            <w:vMerge w:val="restart"/>
            <w:shd w:val="clear" w:color="auto" w:fill="E4E4E4"/>
          </w:tcPr>
          <w:p w14:paraId="362812F9"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3A6CA204"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CATEGORIE D’OPERA</w:t>
            </w:r>
          </w:p>
        </w:tc>
        <w:tc>
          <w:tcPr>
            <w:tcW w:w="2693" w:type="dxa"/>
            <w:gridSpan w:val="2"/>
            <w:shd w:val="clear" w:color="auto" w:fill="E4E4E4"/>
          </w:tcPr>
          <w:p w14:paraId="749038D5"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ID. OPERE</w:t>
            </w:r>
          </w:p>
        </w:tc>
        <w:tc>
          <w:tcPr>
            <w:tcW w:w="1417" w:type="dxa"/>
            <w:vMerge w:val="restart"/>
            <w:shd w:val="clear" w:color="auto" w:fill="E4E4E4"/>
          </w:tcPr>
          <w:p w14:paraId="5BE14B39"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Grado Complessità </w:t>
            </w:r>
          </w:p>
          <w:p w14:paraId="6D0FAFAF"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&lt;</w:t>
            </w:r>
            <w:r w:rsidRPr="00AF38A8">
              <w:rPr>
                <w:rFonts w:asciiTheme="minorHAnsi" w:eastAsia="Times New Roman" w:hAnsiTheme="minorHAnsi" w:cstheme="minorHAnsi"/>
                <w:b/>
                <w:szCs w:val="24"/>
              </w:rPr>
              <w:t>G</w:t>
            </w:r>
            <w:r w:rsidRPr="00AF38A8">
              <w:rPr>
                <w:rFonts w:asciiTheme="minorHAnsi" w:eastAsia="Times New Roman" w:hAnsiTheme="minorHAnsi" w:cstheme="minorHAnsi"/>
                <w:szCs w:val="24"/>
              </w:rPr>
              <w:t>&gt;&gt;</w:t>
            </w:r>
          </w:p>
        </w:tc>
        <w:tc>
          <w:tcPr>
            <w:tcW w:w="1134" w:type="dxa"/>
            <w:vMerge w:val="restart"/>
            <w:shd w:val="clear" w:color="auto" w:fill="E4E4E4"/>
          </w:tcPr>
          <w:p w14:paraId="0DD3AE95"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Importo </w:t>
            </w:r>
          </w:p>
          <w:p w14:paraId="0CDD5416"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delle opere</w:t>
            </w:r>
          </w:p>
        </w:tc>
        <w:tc>
          <w:tcPr>
            <w:tcW w:w="1271" w:type="dxa"/>
            <w:vMerge w:val="restart"/>
            <w:shd w:val="clear" w:color="auto" w:fill="E4E4E4"/>
          </w:tcPr>
          <w:p w14:paraId="21EF8E2F"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Specificità della prestazione</w:t>
            </w:r>
          </w:p>
        </w:tc>
        <w:tc>
          <w:tcPr>
            <w:tcW w:w="1276" w:type="dxa"/>
            <w:vMerge w:val="restart"/>
            <w:shd w:val="clear" w:color="auto" w:fill="E4E4E4"/>
          </w:tcPr>
          <w:p w14:paraId="7E2E71C5"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Importo</w:t>
            </w:r>
          </w:p>
        </w:tc>
        <w:tc>
          <w:tcPr>
            <w:tcW w:w="1276" w:type="dxa"/>
            <w:vMerge w:val="restart"/>
            <w:shd w:val="clear" w:color="auto" w:fill="E4E4E4"/>
          </w:tcPr>
          <w:p w14:paraId="56CF8475"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Spese e oneri</w:t>
            </w:r>
          </w:p>
        </w:tc>
      </w:tr>
      <w:tr w:rsidR="00A91201" w:rsidRPr="00AF38A8" w14:paraId="5FABF432" w14:textId="77777777" w:rsidTr="00443EB5">
        <w:trPr>
          <w:trHeight w:val="340"/>
          <w:jc w:val="center"/>
        </w:trPr>
        <w:tc>
          <w:tcPr>
            <w:tcW w:w="1555" w:type="dxa"/>
            <w:vMerge/>
            <w:shd w:val="clear" w:color="auto" w:fill="E4E4E4"/>
          </w:tcPr>
          <w:p w14:paraId="519C396F"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shd w:val="clear" w:color="auto" w:fill="E4E4E4"/>
          </w:tcPr>
          <w:p w14:paraId="71542ADE"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Codice</w:t>
            </w:r>
          </w:p>
        </w:tc>
        <w:tc>
          <w:tcPr>
            <w:tcW w:w="1418" w:type="dxa"/>
            <w:shd w:val="clear" w:color="auto" w:fill="E4E4E4"/>
          </w:tcPr>
          <w:p w14:paraId="44FD74CB"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Descrizione</w:t>
            </w:r>
          </w:p>
        </w:tc>
        <w:tc>
          <w:tcPr>
            <w:tcW w:w="1417" w:type="dxa"/>
            <w:vMerge/>
            <w:shd w:val="clear" w:color="auto" w:fill="E4E4E4"/>
          </w:tcPr>
          <w:p w14:paraId="4A766A2F"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134" w:type="dxa"/>
            <w:vMerge/>
            <w:shd w:val="clear" w:color="auto" w:fill="E4E4E4"/>
          </w:tcPr>
          <w:p w14:paraId="3BD47021"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1" w:type="dxa"/>
            <w:vMerge/>
            <w:shd w:val="clear" w:color="auto" w:fill="E4E4E4"/>
          </w:tcPr>
          <w:p w14:paraId="5FDE80C5"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6" w:type="dxa"/>
            <w:vMerge/>
            <w:shd w:val="clear" w:color="auto" w:fill="E4E4E4"/>
          </w:tcPr>
          <w:p w14:paraId="75FEFD26"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6" w:type="dxa"/>
            <w:vMerge/>
            <w:shd w:val="clear" w:color="auto" w:fill="E4E4E4"/>
          </w:tcPr>
          <w:p w14:paraId="5242971C"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r>
      <w:tr w:rsidR="00A91201" w:rsidRPr="00AF38A8" w14:paraId="69E2DA29" w14:textId="77777777" w:rsidTr="00443EB5">
        <w:trPr>
          <w:trHeight w:val="1034"/>
          <w:jc w:val="center"/>
        </w:trPr>
        <w:tc>
          <w:tcPr>
            <w:tcW w:w="1555" w:type="dxa"/>
            <w:vMerge w:val="restart"/>
            <w:vAlign w:val="center"/>
          </w:tcPr>
          <w:p w14:paraId="62C41900"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Ad es. EDILIZIA</w:t>
            </w:r>
          </w:p>
          <w:p w14:paraId="17FFF1FD"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50F33A58"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val="restart"/>
            <w:vAlign w:val="center"/>
          </w:tcPr>
          <w:p w14:paraId="1E122E18"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w:t>
            </w:r>
          </w:p>
          <w:p w14:paraId="3A7F0651"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418" w:type="dxa"/>
            <w:vMerge w:val="restart"/>
            <w:vAlign w:val="center"/>
          </w:tcPr>
          <w:p w14:paraId="362222B9"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i/>
                <w:szCs w:val="24"/>
              </w:rPr>
            </w:pPr>
            <w:r w:rsidRPr="00AF38A8">
              <w:rPr>
                <w:rFonts w:asciiTheme="minorHAnsi" w:eastAsia="Times New Roman" w:hAnsiTheme="minorHAnsi" w:cstheme="minorHAnsi"/>
                <w:szCs w:val="24"/>
              </w:rPr>
              <w:t>[…]</w:t>
            </w:r>
          </w:p>
          <w:p w14:paraId="569AF01E"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i/>
                <w:szCs w:val="24"/>
              </w:rPr>
            </w:pPr>
          </w:p>
        </w:tc>
        <w:tc>
          <w:tcPr>
            <w:tcW w:w="1417" w:type="dxa"/>
            <w:vMerge w:val="restart"/>
            <w:vAlign w:val="center"/>
          </w:tcPr>
          <w:p w14:paraId="10FA91BB" w14:textId="77777777" w:rsidR="00A91201" w:rsidRPr="00AF38A8" w:rsidRDefault="00A91201"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77B57CCF" w14:textId="77777777" w:rsidR="00A91201" w:rsidRPr="00AF38A8" w:rsidRDefault="00A91201" w:rsidP="00BD1359">
            <w:pPr>
              <w:spacing w:line="276" w:lineRule="auto"/>
              <w:rPr>
                <w:rFonts w:asciiTheme="minorHAnsi" w:hAnsiTheme="minorHAnsi" w:cstheme="minorHAnsi"/>
                <w:szCs w:val="24"/>
              </w:rPr>
            </w:pPr>
          </w:p>
        </w:tc>
        <w:tc>
          <w:tcPr>
            <w:tcW w:w="1134" w:type="dxa"/>
            <w:vMerge w:val="restart"/>
            <w:vAlign w:val="center"/>
          </w:tcPr>
          <w:p w14:paraId="08821527" w14:textId="77777777" w:rsidR="00A91201" w:rsidRPr="00AF38A8" w:rsidRDefault="00A91201"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017227B4" w14:textId="77777777" w:rsidR="00A91201" w:rsidRPr="00AF38A8" w:rsidRDefault="00A91201" w:rsidP="00BD1359">
            <w:pPr>
              <w:spacing w:line="276" w:lineRule="auto"/>
              <w:rPr>
                <w:rFonts w:asciiTheme="minorHAnsi" w:hAnsiTheme="minorHAnsi" w:cstheme="minorHAnsi"/>
                <w:szCs w:val="24"/>
              </w:rPr>
            </w:pPr>
          </w:p>
        </w:tc>
        <w:tc>
          <w:tcPr>
            <w:tcW w:w="1271" w:type="dxa"/>
            <w:vAlign w:val="center"/>
          </w:tcPr>
          <w:p w14:paraId="1369D027" w14:textId="77777777" w:rsidR="00A91201" w:rsidRPr="00AF38A8" w:rsidRDefault="00A91201"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6" w:type="dxa"/>
          </w:tcPr>
          <w:p w14:paraId="5D631EA4" w14:textId="77777777" w:rsidR="00A91201" w:rsidRPr="00AF38A8" w:rsidRDefault="00A91201" w:rsidP="00BD1359">
            <w:pPr>
              <w:spacing w:line="276" w:lineRule="auto"/>
              <w:jc w:val="center"/>
              <w:rPr>
                <w:rFonts w:asciiTheme="minorHAnsi" w:eastAsia="Times New Roman" w:hAnsiTheme="minorHAnsi" w:cstheme="minorHAnsi"/>
                <w:szCs w:val="24"/>
              </w:rPr>
            </w:pPr>
          </w:p>
        </w:tc>
        <w:tc>
          <w:tcPr>
            <w:tcW w:w="1276" w:type="dxa"/>
          </w:tcPr>
          <w:p w14:paraId="3E9B60F1" w14:textId="77777777" w:rsidR="00A91201" w:rsidRPr="00AF38A8" w:rsidRDefault="00A91201" w:rsidP="00BD1359">
            <w:pPr>
              <w:spacing w:line="276" w:lineRule="auto"/>
              <w:jc w:val="center"/>
              <w:rPr>
                <w:rFonts w:asciiTheme="minorHAnsi" w:eastAsia="Times New Roman" w:hAnsiTheme="minorHAnsi" w:cstheme="minorHAnsi"/>
                <w:szCs w:val="24"/>
              </w:rPr>
            </w:pPr>
          </w:p>
        </w:tc>
      </w:tr>
      <w:tr w:rsidR="00A91201" w:rsidRPr="00AF38A8" w14:paraId="50D56E18" w14:textId="77777777" w:rsidTr="00443EB5">
        <w:trPr>
          <w:trHeight w:val="1449"/>
          <w:jc w:val="center"/>
        </w:trPr>
        <w:tc>
          <w:tcPr>
            <w:tcW w:w="1555" w:type="dxa"/>
            <w:vMerge/>
            <w:vAlign w:val="center"/>
          </w:tcPr>
          <w:p w14:paraId="3ED84437"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vAlign w:val="center"/>
          </w:tcPr>
          <w:p w14:paraId="09BDCC59"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418" w:type="dxa"/>
            <w:vMerge/>
            <w:vAlign w:val="center"/>
          </w:tcPr>
          <w:p w14:paraId="5155280E"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417" w:type="dxa"/>
            <w:vMerge/>
            <w:vAlign w:val="center"/>
          </w:tcPr>
          <w:p w14:paraId="4AEE83FE"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134" w:type="dxa"/>
            <w:vMerge/>
            <w:vAlign w:val="center"/>
          </w:tcPr>
          <w:p w14:paraId="3B4A781F"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1" w:type="dxa"/>
            <w:vAlign w:val="center"/>
          </w:tcPr>
          <w:p w14:paraId="32EF16BA" w14:textId="77777777" w:rsidR="00A91201" w:rsidRPr="00AF38A8" w:rsidRDefault="00A91201"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6" w:type="dxa"/>
          </w:tcPr>
          <w:p w14:paraId="1947B2C4" w14:textId="77777777" w:rsidR="00A91201" w:rsidRPr="00AF38A8" w:rsidRDefault="00A91201" w:rsidP="00BD1359">
            <w:pPr>
              <w:spacing w:line="276" w:lineRule="auto"/>
              <w:jc w:val="center"/>
              <w:rPr>
                <w:rFonts w:asciiTheme="minorHAnsi" w:eastAsia="Times New Roman" w:hAnsiTheme="minorHAnsi" w:cstheme="minorHAnsi"/>
                <w:szCs w:val="24"/>
              </w:rPr>
            </w:pPr>
          </w:p>
        </w:tc>
        <w:tc>
          <w:tcPr>
            <w:tcW w:w="1276" w:type="dxa"/>
          </w:tcPr>
          <w:p w14:paraId="6EA1D0D5" w14:textId="77777777" w:rsidR="00A91201" w:rsidRPr="00AF38A8" w:rsidRDefault="00A91201" w:rsidP="00BD1359">
            <w:pPr>
              <w:spacing w:line="276" w:lineRule="auto"/>
              <w:jc w:val="center"/>
              <w:rPr>
                <w:rFonts w:asciiTheme="minorHAnsi" w:eastAsia="Times New Roman" w:hAnsiTheme="minorHAnsi" w:cstheme="minorHAnsi"/>
                <w:szCs w:val="24"/>
              </w:rPr>
            </w:pPr>
          </w:p>
        </w:tc>
      </w:tr>
      <w:tr w:rsidR="00A91201" w:rsidRPr="00AF38A8" w14:paraId="2193BACB" w14:textId="77777777" w:rsidTr="00A91201">
        <w:trPr>
          <w:trHeight w:val="629"/>
          <w:jc w:val="center"/>
        </w:trPr>
        <w:tc>
          <w:tcPr>
            <w:tcW w:w="8070" w:type="dxa"/>
            <w:gridSpan w:val="6"/>
          </w:tcPr>
          <w:p w14:paraId="26ED6C28"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b/>
                <w:i/>
                <w:szCs w:val="24"/>
              </w:rPr>
            </w:pPr>
          </w:p>
          <w:p w14:paraId="7D5B0169"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SOMMA</w:t>
            </w:r>
          </w:p>
          <w:p w14:paraId="275212E8" w14:textId="77777777" w:rsidR="00A91201" w:rsidRPr="00AF38A8" w:rsidRDefault="00A91201" w:rsidP="00BD1359">
            <w:pPr>
              <w:spacing w:line="276" w:lineRule="auto"/>
              <w:rPr>
                <w:rFonts w:asciiTheme="minorHAnsi" w:hAnsiTheme="minorHAnsi" w:cstheme="minorHAnsi"/>
                <w:szCs w:val="24"/>
              </w:rPr>
            </w:pPr>
          </w:p>
        </w:tc>
        <w:tc>
          <w:tcPr>
            <w:tcW w:w="1276" w:type="dxa"/>
          </w:tcPr>
          <w:p w14:paraId="12AC0834" w14:textId="77777777" w:rsidR="00A91201" w:rsidRPr="00AF38A8" w:rsidRDefault="00A91201" w:rsidP="00BD1359">
            <w:pPr>
              <w:spacing w:line="276" w:lineRule="auto"/>
              <w:jc w:val="center"/>
              <w:rPr>
                <w:rFonts w:asciiTheme="minorHAnsi" w:eastAsia="Times New Roman" w:hAnsiTheme="minorHAnsi" w:cstheme="minorHAnsi"/>
                <w:szCs w:val="24"/>
              </w:rPr>
            </w:pPr>
          </w:p>
        </w:tc>
        <w:tc>
          <w:tcPr>
            <w:tcW w:w="1276" w:type="dxa"/>
          </w:tcPr>
          <w:p w14:paraId="6CC37606" w14:textId="77777777" w:rsidR="00A91201" w:rsidRPr="00AF38A8" w:rsidRDefault="00A91201" w:rsidP="00BD1359">
            <w:pPr>
              <w:spacing w:line="276" w:lineRule="auto"/>
              <w:jc w:val="center"/>
              <w:rPr>
                <w:rFonts w:asciiTheme="minorHAnsi" w:eastAsia="Times New Roman" w:hAnsiTheme="minorHAnsi" w:cstheme="minorHAnsi"/>
                <w:szCs w:val="24"/>
              </w:rPr>
            </w:pPr>
          </w:p>
        </w:tc>
      </w:tr>
      <w:tr w:rsidR="00A91201" w:rsidRPr="00AF38A8" w14:paraId="2C60F174" w14:textId="77777777" w:rsidTr="00A91201">
        <w:trPr>
          <w:trHeight w:val="625"/>
          <w:jc w:val="center"/>
        </w:trPr>
        <w:tc>
          <w:tcPr>
            <w:tcW w:w="8070" w:type="dxa"/>
            <w:gridSpan w:val="6"/>
          </w:tcPr>
          <w:p w14:paraId="3B71C5E7"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r w:rsidRPr="00AF38A8">
              <w:rPr>
                <w:rFonts w:asciiTheme="minorHAnsi" w:eastAsia="Times New Roman" w:hAnsiTheme="minorHAnsi" w:cstheme="minorHAnsi"/>
                <w:b/>
                <w:i/>
                <w:szCs w:val="24"/>
              </w:rPr>
              <w:t>Totale comprensivo di spese e oneri</w:t>
            </w:r>
          </w:p>
        </w:tc>
        <w:tc>
          <w:tcPr>
            <w:tcW w:w="2552" w:type="dxa"/>
            <w:gridSpan w:val="2"/>
          </w:tcPr>
          <w:p w14:paraId="16C205B0" w14:textId="77777777" w:rsidR="00A91201" w:rsidRPr="00AF38A8" w:rsidRDefault="00A91201" w:rsidP="00BD1359">
            <w:pPr>
              <w:spacing w:line="276" w:lineRule="auto"/>
              <w:jc w:val="center"/>
              <w:rPr>
                <w:rFonts w:asciiTheme="minorHAnsi" w:eastAsia="Times New Roman" w:hAnsiTheme="minorHAnsi" w:cstheme="minorHAnsi"/>
                <w:szCs w:val="24"/>
              </w:rPr>
            </w:pPr>
          </w:p>
        </w:tc>
      </w:tr>
    </w:tbl>
    <w:p w14:paraId="4357A5DE" w14:textId="77777777" w:rsidR="00443EB5" w:rsidRDefault="00443EB5" w:rsidP="00BD1359">
      <w:pPr>
        <w:spacing w:line="276" w:lineRule="auto"/>
        <w:rPr>
          <w:rFonts w:asciiTheme="minorHAnsi" w:eastAsia="Times New Roman" w:hAnsiTheme="minorHAnsi" w:cstheme="minorHAnsi"/>
          <w:b/>
          <w:i/>
          <w:sz w:val="24"/>
          <w:szCs w:val="24"/>
        </w:rPr>
      </w:pPr>
    </w:p>
    <w:p w14:paraId="277C1F14" w14:textId="17BB6983" w:rsidR="00A91201" w:rsidRDefault="00A91201" w:rsidP="00BD1359">
      <w:pPr>
        <w:spacing w:line="276" w:lineRule="auto"/>
        <w:rPr>
          <w:rFonts w:asciiTheme="minorHAnsi" w:eastAsia="Times New Roman" w:hAnsiTheme="minorHAnsi" w:cstheme="minorHAnsi"/>
          <w:i/>
          <w:sz w:val="24"/>
          <w:szCs w:val="24"/>
        </w:rPr>
      </w:pPr>
      <w:r w:rsidRPr="00AF38A8">
        <w:rPr>
          <w:rFonts w:asciiTheme="minorHAnsi" w:eastAsia="Times New Roman" w:hAnsiTheme="minorHAnsi" w:cstheme="minorHAnsi"/>
          <w:b/>
          <w:i/>
          <w:sz w:val="24"/>
          <w:szCs w:val="24"/>
        </w:rPr>
        <w:t>Incarico di………</w:t>
      </w:r>
      <w:r w:rsidRPr="00AF38A8">
        <w:rPr>
          <w:rFonts w:asciiTheme="minorHAnsi" w:eastAsia="Times New Roman" w:hAnsiTheme="minorHAnsi" w:cstheme="minorHAnsi"/>
          <w:i/>
          <w:sz w:val="24"/>
          <w:szCs w:val="24"/>
        </w:rPr>
        <w:t>(ad es. coordinamento sicurezza in fase di progettazione)</w:t>
      </w: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75"/>
        <w:gridCol w:w="1418"/>
        <w:gridCol w:w="1417"/>
        <w:gridCol w:w="1134"/>
        <w:gridCol w:w="1271"/>
        <w:gridCol w:w="1276"/>
        <w:gridCol w:w="1276"/>
      </w:tblGrid>
      <w:tr w:rsidR="00443EB5" w:rsidRPr="00AF38A8" w14:paraId="32001C0E" w14:textId="77777777" w:rsidTr="00AB0DC4">
        <w:trPr>
          <w:trHeight w:val="340"/>
          <w:jc w:val="center"/>
        </w:trPr>
        <w:tc>
          <w:tcPr>
            <w:tcW w:w="1555" w:type="dxa"/>
            <w:vMerge w:val="restart"/>
            <w:shd w:val="clear" w:color="auto" w:fill="E4E4E4"/>
          </w:tcPr>
          <w:p w14:paraId="0BA3BBE4" w14:textId="77777777" w:rsidR="00443EB5" w:rsidRPr="00AF38A8" w:rsidRDefault="00443EB5"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236BDE04" w14:textId="77777777" w:rsidR="00443EB5" w:rsidRPr="00AF38A8" w:rsidRDefault="00443EB5"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CATEGORIE D’OPERA</w:t>
            </w:r>
          </w:p>
        </w:tc>
        <w:tc>
          <w:tcPr>
            <w:tcW w:w="2693" w:type="dxa"/>
            <w:gridSpan w:val="2"/>
            <w:shd w:val="clear" w:color="auto" w:fill="E4E4E4"/>
          </w:tcPr>
          <w:p w14:paraId="7C30FE2A" w14:textId="77777777" w:rsidR="00443EB5" w:rsidRPr="00AF38A8" w:rsidRDefault="00443EB5"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ID. OPERE</w:t>
            </w:r>
          </w:p>
        </w:tc>
        <w:tc>
          <w:tcPr>
            <w:tcW w:w="1417" w:type="dxa"/>
            <w:vMerge w:val="restart"/>
            <w:shd w:val="clear" w:color="auto" w:fill="E4E4E4"/>
          </w:tcPr>
          <w:p w14:paraId="7E9392BB"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Grado Complessità </w:t>
            </w:r>
          </w:p>
          <w:p w14:paraId="7E710B56"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&lt;</w:t>
            </w:r>
            <w:r w:rsidRPr="00AF38A8">
              <w:rPr>
                <w:rFonts w:asciiTheme="minorHAnsi" w:eastAsia="Times New Roman" w:hAnsiTheme="minorHAnsi" w:cstheme="minorHAnsi"/>
                <w:b/>
                <w:szCs w:val="24"/>
              </w:rPr>
              <w:t>G</w:t>
            </w:r>
            <w:r w:rsidRPr="00AF38A8">
              <w:rPr>
                <w:rFonts w:asciiTheme="minorHAnsi" w:eastAsia="Times New Roman" w:hAnsiTheme="minorHAnsi" w:cstheme="minorHAnsi"/>
                <w:szCs w:val="24"/>
              </w:rPr>
              <w:t>&gt;&gt;</w:t>
            </w:r>
          </w:p>
        </w:tc>
        <w:tc>
          <w:tcPr>
            <w:tcW w:w="1134" w:type="dxa"/>
            <w:vMerge w:val="restart"/>
            <w:shd w:val="clear" w:color="auto" w:fill="E4E4E4"/>
          </w:tcPr>
          <w:p w14:paraId="51CCE8BD"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Importo </w:t>
            </w:r>
          </w:p>
          <w:p w14:paraId="3D09764C"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delle opere</w:t>
            </w:r>
          </w:p>
        </w:tc>
        <w:tc>
          <w:tcPr>
            <w:tcW w:w="1271" w:type="dxa"/>
            <w:vMerge w:val="restart"/>
            <w:shd w:val="clear" w:color="auto" w:fill="E4E4E4"/>
          </w:tcPr>
          <w:p w14:paraId="2F0C2112"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Specificità della prestazione</w:t>
            </w:r>
          </w:p>
        </w:tc>
        <w:tc>
          <w:tcPr>
            <w:tcW w:w="1276" w:type="dxa"/>
            <w:vMerge w:val="restart"/>
            <w:shd w:val="clear" w:color="auto" w:fill="E4E4E4"/>
          </w:tcPr>
          <w:p w14:paraId="7F5D72BF"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Importo</w:t>
            </w:r>
          </w:p>
        </w:tc>
        <w:tc>
          <w:tcPr>
            <w:tcW w:w="1276" w:type="dxa"/>
            <w:vMerge w:val="restart"/>
            <w:shd w:val="clear" w:color="auto" w:fill="E4E4E4"/>
          </w:tcPr>
          <w:p w14:paraId="3F0806F8"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Spese e oneri</w:t>
            </w:r>
          </w:p>
        </w:tc>
      </w:tr>
      <w:tr w:rsidR="00443EB5" w:rsidRPr="00AF38A8" w14:paraId="1EAC638F" w14:textId="77777777" w:rsidTr="00AB0DC4">
        <w:trPr>
          <w:trHeight w:val="340"/>
          <w:jc w:val="center"/>
        </w:trPr>
        <w:tc>
          <w:tcPr>
            <w:tcW w:w="1555" w:type="dxa"/>
            <w:vMerge/>
            <w:shd w:val="clear" w:color="auto" w:fill="E4E4E4"/>
          </w:tcPr>
          <w:p w14:paraId="49411542"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shd w:val="clear" w:color="auto" w:fill="E4E4E4"/>
          </w:tcPr>
          <w:p w14:paraId="60D96C73" w14:textId="77777777" w:rsidR="00443EB5" w:rsidRPr="00AF38A8" w:rsidRDefault="00443EB5"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Codice</w:t>
            </w:r>
          </w:p>
        </w:tc>
        <w:tc>
          <w:tcPr>
            <w:tcW w:w="1418" w:type="dxa"/>
            <w:shd w:val="clear" w:color="auto" w:fill="E4E4E4"/>
          </w:tcPr>
          <w:p w14:paraId="10227210" w14:textId="77777777" w:rsidR="00443EB5" w:rsidRPr="00AF38A8" w:rsidRDefault="00443EB5"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Descrizione</w:t>
            </w:r>
          </w:p>
        </w:tc>
        <w:tc>
          <w:tcPr>
            <w:tcW w:w="1417" w:type="dxa"/>
            <w:vMerge/>
            <w:shd w:val="clear" w:color="auto" w:fill="E4E4E4"/>
          </w:tcPr>
          <w:p w14:paraId="147E9413"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134" w:type="dxa"/>
            <w:vMerge/>
            <w:shd w:val="clear" w:color="auto" w:fill="E4E4E4"/>
          </w:tcPr>
          <w:p w14:paraId="57036296"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1" w:type="dxa"/>
            <w:vMerge/>
            <w:shd w:val="clear" w:color="auto" w:fill="E4E4E4"/>
          </w:tcPr>
          <w:p w14:paraId="37E9EB7C"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6" w:type="dxa"/>
            <w:vMerge/>
            <w:shd w:val="clear" w:color="auto" w:fill="E4E4E4"/>
          </w:tcPr>
          <w:p w14:paraId="23FBC978"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6" w:type="dxa"/>
            <w:vMerge/>
            <w:shd w:val="clear" w:color="auto" w:fill="E4E4E4"/>
          </w:tcPr>
          <w:p w14:paraId="0D6CB6C5"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r>
      <w:tr w:rsidR="00443EB5" w:rsidRPr="00AF38A8" w14:paraId="1C570072" w14:textId="77777777" w:rsidTr="00AB0DC4">
        <w:trPr>
          <w:trHeight w:val="1034"/>
          <w:jc w:val="center"/>
        </w:trPr>
        <w:tc>
          <w:tcPr>
            <w:tcW w:w="1555" w:type="dxa"/>
            <w:vMerge w:val="restart"/>
            <w:vAlign w:val="center"/>
          </w:tcPr>
          <w:p w14:paraId="56741D12" w14:textId="77777777" w:rsidR="00443EB5" w:rsidRPr="00AF38A8" w:rsidRDefault="00443EB5"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Ad es. EDILIZIA</w:t>
            </w:r>
          </w:p>
          <w:p w14:paraId="3F8C1740" w14:textId="77777777" w:rsidR="00443EB5" w:rsidRPr="00AF38A8" w:rsidRDefault="00443EB5"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7C64D8AC"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val="restart"/>
            <w:vAlign w:val="center"/>
          </w:tcPr>
          <w:p w14:paraId="43D94A4D" w14:textId="77777777" w:rsidR="00443EB5" w:rsidRPr="00AF38A8" w:rsidRDefault="00443EB5"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w:t>
            </w:r>
          </w:p>
          <w:p w14:paraId="020443B8"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418" w:type="dxa"/>
            <w:vMerge w:val="restart"/>
            <w:vAlign w:val="center"/>
          </w:tcPr>
          <w:p w14:paraId="78A691DA" w14:textId="77777777" w:rsidR="00443EB5" w:rsidRPr="00AF38A8" w:rsidRDefault="00443EB5" w:rsidP="00BD1359">
            <w:pPr>
              <w:pBdr>
                <w:top w:val="nil"/>
                <w:left w:val="nil"/>
                <w:bottom w:val="nil"/>
                <w:right w:val="nil"/>
                <w:between w:val="nil"/>
              </w:pBdr>
              <w:spacing w:line="276" w:lineRule="auto"/>
              <w:jc w:val="center"/>
              <w:rPr>
                <w:rFonts w:asciiTheme="minorHAnsi" w:eastAsia="Times New Roman" w:hAnsiTheme="minorHAnsi" w:cstheme="minorHAnsi"/>
                <w:i/>
                <w:szCs w:val="24"/>
              </w:rPr>
            </w:pPr>
            <w:r w:rsidRPr="00AF38A8">
              <w:rPr>
                <w:rFonts w:asciiTheme="minorHAnsi" w:eastAsia="Times New Roman" w:hAnsiTheme="minorHAnsi" w:cstheme="minorHAnsi"/>
                <w:szCs w:val="24"/>
              </w:rPr>
              <w:t>[…]</w:t>
            </w:r>
          </w:p>
          <w:p w14:paraId="29365840"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i/>
                <w:szCs w:val="24"/>
              </w:rPr>
            </w:pPr>
          </w:p>
        </w:tc>
        <w:tc>
          <w:tcPr>
            <w:tcW w:w="1417" w:type="dxa"/>
            <w:vMerge w:val="restart"/>
            <w:vAlign w:val="center"/>
          </w:tcPr>
          <w:p w14:paraId="24E469FD" w14:textId="77777777" w:rsidR="00443EB5" w:rsidRPr="00AF38A8" w:rsidRDefault="00443EB5"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69C2E779" w14:textId="77777777" w:rsidR="00443EB5" w:rsidRPr="00AF38A8" w:rsidRDefault="00443EB5" w:rsidP="00BD1359">
            <w:pPr>
              <w:spacing w:line="276" w:lineRule="auto"/>
              <w:rPr>
                <w:rFonts w:asciiTheme="minorHAnsi" w:hAnsiTheme="minorHAnsi" w:cstheme="minorHAnsi"/>
                <w:szCs w:val="24"/>
              </w:rPr>
            </w:pPr>
          </w:p>
        </w:tc>
        <w:tc>
          <w:tcPr>
            <w:tcW w:w="1134" w:type="dxa"/>
            <w:vMerge w:val="restart"/>
            <w:vAlign w:val="center"/>
          </w:tcPr>
          <w:p w14:paraId="7537019E" w14:textId="77777777" w:rsidR="00443EB5" w:rsidRPr="00AF38A8" w:rsidRDefault="00443EB5"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5A46037B" w14:textId="77777777" w:rsidR="00443EB5" w:rsidRPr="00AF38A8" w:rsidRDefault="00443EB5" w:rsidP="00BD1359">
            <w:pPr>
              <w:spacing w:line="276" w:lineRule="auto"/>
              <w:rPr>
                <w:rFonts w:asciiTheme="minorHAnsi" w:hAnsiTheme="minorHAnsi" w:cstheme="minorHAnsi"/>
                <w:szCs w:val="24"/>
              </w:rPr>
            </w:pPr>
          </w:p>
        </w:tc>
        <w:tc>
          <w:tcPr>
            <w:tcW w:w="1271" w:type="dxa"/>
            <w:vAlign w:val="center"/>
          </w:tcPr>
          <w:p w14:paraId="4B0073E7" w14:textId="77777777" w:rsidR="00443EB5" w:rsidRPr="00AF38A8" w:rsidRDefault="00443EB5"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6" w:type="dxa"/>
          </w:tcPr>
          <w:p w14:paraId="6B6B462C" w14:textId="77777777" w:rsidR="00443EB5" w:rsidRPr="00AF38A8" w:rsidRDefault="00443EB5" w:rsidP="00BD1359">
            <w:pPr>
              <w:spacing w:line="276" w:lineRule="auto"/>
              <w:jc w:val="center"/>
              <w:rPr>
                <w:rFonts w:asciiTheme="minorHAnsi" w:eastAsia="Times New Roman" w:hAnsiTheme="minorHAnsi" w:cstheme="minorHAnsi"/>
                <w:szCs w:val="24"/>
              </w:rPr>
            </w:pPr>
          </w:p>
        </w:tc>
        <w:tc>
          <w:tcPr>
            <w:tcW w:w="1276" w:type="dxa"/>
          </w:tcPr>
          <w:p w14:paraId="0D6FFD59" w14:textId="77777777" w:rsidR="00443EB5" w:rsidRPr="00AF38A8" w:rsidRDefault="00443EB5" w:rsidP="00BD1359">
            <w:pPr>
              <w:spacing w:line="276" w:lineRule="auto"/>
              <w:jc w:val="center"/>
              <w:rPr>
                <w:rFonts w:asciiTheme="minorHAnsi" w:eastAsia="Times New Roman" w:hAnsiTheme="minorHAnsi" w:cstheme="minorHAnsi"/>
                <w:szCs w:val="24"/>
              </w:rPr>
            </w:pPr>
          </w:p>
        </w:tc>
      </w:tr>
      <w:tr w:rsidR="00443EB5" w:rsidRPr="00AF38A8" w14:paraId="4AC701A5" w14:textId="77777777" w:rsidTr="00AB0DC4">
        <w:trPr>
          <w:trHeight w:val="1449"/>
          <w:jc w:val="center"/>
        </w:trPr>
        <w:tc>
          <w:tcPr>
            <w:tcW w:w="1555" w:type="dxa"/>
            <w:vMerge/>
            <w:vAlign w:val="center"/>
          </w:tcPr>
          <w:p w14:paraId="50B8E955"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vAlign w:val="center"/>
          </w:tcPr>
          <w:p w14:paraId="60DC4C80"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418" w:type="dxa"/>
            <w:vMerge/>
            <w:vAlign w:val="center"/>
          </w:tcPr>
          <w:p w14:paraId="7E6FB68B"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417" w:type="dxa"/>
            <w:vMerge/>
            <w:vAlign w:val="center"/>
          </w:tcPr>
          <w:p w14:paraId="1EBAEFDA"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134" w:type="dxa"/>
            <w:vMerge/>
            <w:vAlign w:val="center"/>
          </w:tcPr>
          <w:p w14:paraId="049053B1"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1" w:type="dxa"/>
            <w:vAlign w:val="center"/>
          </w:tcPr>
          <w:p w14:paraId="2FE76A72" w14:textId="77777777" w:rsidR="00443EB5" w:rsidRPr="00AF38A8" w:rsidRDefault="00443EB5"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6" w:type="dxa"/>
          </w:tcPr>
          <w:p w14:paraId="5BEB5348" w14:textId="77777777" w:rsidR="00443EB5" w:rsidRPr="00AF38A8" w:rsidRDefault="00443EB5" w:rsidP="00BD1359">
            <w:pPr>
              <w:spacing w:line="276" w:lineRule="auto"/>
              <w:jc w:val="center"/>
              <w:rPr>
                <w:rFonts w:asciiTheme="minorHAnsi" w:eastAsia="Times New Roman" w:hAnsiTheme="minorHAnsi" w:cstheme="minorHAnsi"/>
                <w:szCs w:val="24"/>
              </w:rPr>
            </w:pPr>
          </w:p>
        </w:tc>
        <w:tc>
          <w:tcPr>
            <w:tcW w:w="1276" w:type="dxa"/>
          </w:tcPr>
          <w:p w14:paraId="6DE6D003" w14:textId="77777777" w:rsidR="00443EB5" w:rsidRPr="00AF38A8" w:rsidRDefault="00443EB5" w:rsidP="00BD1359">
            <w:pPr>
              <w:spacing w:line="276" w:lineRule="auto"/>
              <w:jc w:val="center"/>
              <w:rPr>
                <w:rFonts w:asciiTheme="minorHAnsi" w:eastAsia="Times New Roman" w:hAnsiTheme="minorHAnsi" w:cstheme="minorHAnsi"/>
                <w:szCs w:val="24"/>
              </w:rPr>
            </w:pPr>
          </w:p>
        </w:tc>
      </w:tr>
      <w:tr w:rsidR="00443EB5" w:rsidRPr="00AF38A8" w14:paraId="48CA73F8" w14:textId="77777777" w:rsidTr="00AB0DC4">
        <w:trPr>
          <w:trHeight w:val="629"/>
          <w:jc w:val="center"/>
        </w:trPr>
        <w:tc>
          <w:tcPr>
            <w:tcW w:w="8070" w:type="dxa"/>
            <w:gridSpan w:val="6"/>
          </w:tcPr>
          <w:p w14:paraId="4F96E8D6" w14:textId="77777777" w:rsidR="00443EB5" w:rsidRPr="00AF38A8" w:rsidRDefault="00443EB5" w:rsidP="00BD1359">
            <w:pPr>
              <w:pBdr>
                <w:top w:val="nil"/>
                <w:left w:val="nil"/>
                <w:bottom w:val="nil"/>
                <w:right w:val="nil"/>
                <w:between w:val="nil"/>
              </w:pBdr>
              <w:spacing w:line="276" w:lineRule="auto"/>
              <w:rPr>
                <w:rFonts w:asciiTheme="minorHAnsi" w:eastAsia="Times New Roman" w:hAnsiTheme="minorHAnsi" w:cstheme="minorHAnsi"/>
                <w:b/>
                <w:i/>
                <w:szCs w:val="24"/>
              </w:rPr>
            </w:pPr>
          </w:p>
          <w:p w14:paraId="6B6F4809" w14:textId="77777777" w:rsidR="00443EB5" w:rsidRPr="00AF38A8" w:rsidRDefault="00443EB5"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SOMMA</w:t>
            </w:r>
          </w:p>
          <w:p w14:paraId="272B697F" w14:textId="77777777" w:rsidR="00443EB5" w:rsidRPr="00AF38A8" w:rsidRDefault="00443EB5" w:rsidP="00BD1359">
            <w:pPr>
              <w:spacing w:line="276" w:lineRule="auto"/>
              <w:rPr>
                <w:rFonts w:asciiTheme="minorHAnsi" w:hAnsiTheme="minorHAnsi" w:cstheme="minorHAnsi"/>
                <w:szCs w:val="24"/>
              </w:rPr>
            </w:pPr>
          </w:p>
        </w:tc>
        <w:tc>
          <w:tcPr>
            <w:tcW w:w="1276" w:type="dxa"/>
          </w:tcPr>
          <w:p w14:paraId="477AFA17" w14:textId="77777777" w:rsidR="00443EB5" w:rsidRPr="00AF38A8" w:rsidRDefault="00443EB5" w:rsidP="00BD1359">
            <w:pPr>
              <w:spacing w:line="276" w:lineRule="auto"/>
              <w:jc w:val="center"/>
              <w:rPr>
                <w:rFonts w:asciiTheme="minorHAnsi" w:eastAsia="Times New Roman" w:hAnsiTheme="minorHAnsi" w:cstheme="minorHAnsi"/>
                <w:szCs w:val="24"/>
              </w:rPr>
            </w:pPr>
          </w:p>
        </w:tc>
        <w:tc>
          <w:tcPr>
            <w:tcW w:w="1276" w:type="dxa"/>
          </w:tcPr>
          <w:p w14:paraId="53D90CBC" w14:textId="77777777" w:rsidR="00443EB5" w:rsidRPr="00AF38A8" w:rsidRDefault="00443EB5" w:rsidP="00BD1359">
            <w:pPr>
              <w:spacing w:line="276" w:lineRule="auto"/>
              <w:jc w:val="center"/>
              <w:rPr>
                <w:rFonts w:asciiTheme="minorHAnsi" w:eastAsia="Times New Roman" w:hAnsiTheme="minorHAnsi" w:cstheme="minorHAnsi"/>
                <w:szCs w:val="24"/>
              </w:rPr>
            </w:pPr>
          </w:p>
        </w:tc>
      </w:tr>
      <w:tr w:rsidR="00443EB5" w:rsidRPr="00AF38A8" w14:paraId="76980E8A" w14:textId="77777777" w:rsidTr="00AB0DC4">
        <w:trPr>
          <w:trHeight w:val="625"/>
          <w:jc w:val="center"/>
        </w:trPr>
        <w:tc>
          <w:tcPr>
            <w:tcW w:w="8070" w:type="dxa"/>
            <w:gridSpan w:val="6"/>
          </w:tcPr>
          <w:p w14:paraId="19CFCB9C" w14:textId="77777777" w:rsidR="00443EB5" w:rsidRPr="00AF38A8" w:rsidRDefault="00443EB5"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r w:rsidRPr="00AF38A8">
              <w:rPr>
                <w:rFonts w:asciiTheme="minorHAnsi" w:eastAsia="Times New Roman" w:hAnsiTheme="minorHAnsi" w:cstheme="minorHAnsi"/>
                <w:b/>
                <w:i/>
                <w:szCs w:val="24"/>
              </w:rPr>
              <w:t>Totale comprensivo di spese e oneri</w:t>
            </w:r>
          </w:p>
        </w:tc>
        <w:tc>
          <w:tcPr>
            <w:tcW w:w="2552" w:type="dxa"/>
            <w:gridSpan w:val="2"/>
          </w:tcPr>
          <w:p w14:paraId="53C2E355" w14:textId="77777777" w:rsidR="00443EB5" w:rsidRPr="00AF38A8" w:rsidRDefault="00443EB5" w:rsidP="00BD1359">
            <w:pPr>
              <w:spacing w:line="276" w:lineRule="auto"/>
              <w:jc w:val="center"/>
              <w:rPr>
                <w:rFonts w:asciiTheme="minorHAnsi" w:eastAsia="Times New Roman" w:hAnsiTheme="minorHAnsi" w:cstheme="minorHAnsi"/>
                <w:szCs w:val="24"/>
              </w:rPr>
            </w:pPr>
          </w:p>
        </w:tc>
      </w:tr>
    </w:tbl>
    <w:p w14:paraId="0BCB7832" w14:textId="1E1310DE" w:rsidR="00443EB5" w:rsidRDefault="00443EB5" w:rsidP="00BD1359">
      <w:pPr>
        <w:spacing w:line="276" w:lineRule="auto"/>
        <w:rPr>
          <w:rFonts w:asciiTheme="minorHAnsi" w:eastAsia="Times New Roman" w:hAnsiTheme="minorHAnsi" w:cstheme="minorHAnsi"/>
          <w:b/>
          <w:i/>
          <w:sz w:val="24"/>
          <w:szCs w:val="24"/>
        </w:rPr>
      </w:pPr>
    </w:p>
    <w:p w14:paraId="21967291" w14:textId="77777777" w:rsidR="00A91201" w:rsidRPr="00AF38A8" w:rsidRDefault="00A91201"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L’appalto è finanziato con …………. [</w:t>
      </w:r>
      <w:r w:rsidRPr="00AF38A8">
        <w:rPr>
          <w:rFonts w:asciiTheme="minorHAnsi" w:eastAsia="Times New Roman" w:hAnsiTheme="minorHAnsi" w:cstheme="minorHAnsi"/>
          <w:i/>
          <w:sz w:val="24"/>
          <w:szCs w:val="24"/>
        </w:rPr>
        <w:t>interamente con i fondi stanziati per la ricostruzione pubblica a seguito degli eventi sismici verificatisi a far data dal 24 agosto 2016 ai sensi decreto legge ottobre 2016, n. 189, convertito con modificazioni dalla legge 15 dicembre 2016, n. 229 e dell’O.C.S.R. n. … del …</w:t>
      </w:r>
      <w:r w:rsidRPr="00AF38A8">
        <w:rPr>
          <w:rFonts w:asciiTheme="minorHAnsi" w:eastAsia="Times New Roman" w:hAnsiTheme="minorHAnsi" w:cstheme="minorHAnsi"/>
          <w:sz w:val="24"/>
          <w:szCs w:val="24"/>
        </w:rPr>
        <w:t xml:space="preserve">.]. </w:t>
      </w:r>
    </w:p>
    <w:p w14:paraId="23B5E09F" w14:textId="77777777" w:rsidR="00A91201" w:rsidRPr="00AF38A8" w:rsidRDefault="00A91201"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La corresponsione del compenso non è subordinata all’ottenimento del finanziamento dell’opera progettata. </w:t>
      </w:r>
    </w:p>
    <w:p w14:paraId="46A6B737" w14:textId="7CF4F885" w:rsidR="00443EB5" w:rsidRDefault="00443EB5"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5CEEF848" w14:textId="77777777" w:rsidR="00443EB5" w:rsidRDefault="00443EB5"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1376F33B" w14:textId="4272BC18" w:rsidR="00A91201" w:rsidRPr="00AF38A8" w:rsidRDefault="00A91201"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 in caso di suddivisione in lotti, sostituire il testo precedente con quello seguente]</w:t>
      </w:r>
    </w:p>
    <w:p w14:paraId="5F14EE28" w14:textId="77777777" w:rsidR="00443EB5" w:rsidRDefault="00443EB5"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1F20883D" w14:textId="348B4CFA" w:rsidR="00A91201" w:rsidRPr="00AF38A8" w:rsidRDefault="00A91201"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lotti sono stati individuati utilizzando i seguenti criteri …. [</w:t>
      </w:r>
      <w:r w:rsidR="00443EB5">
        <w:rPr>
          <w:rFonts w:asciiTheme="minorHAnsi" w:eastAsia="Times New Roman" w:hAnsiTheme="minorHAnsi" w:cstheme="minorHAnsi"/>
          <w:i/>
          <w:sz w:val="24"/>
          <w:szCs w:val="24"/>
        </w:rPr>
        <w:t>i</w:t>
      </w:r>
      <w:r w:rsidRPr="00AF38A8">
        <w:rPr>
          <w:rFonts w:asciiTheme="minorHAnsi" w:eastAsia="Times New Roman" w:hAnsiTheme="minorHAnsi" w:cstheme="minorHAnsi"/>
          <w:i/>
          <w:sz w:val="24"/>
          <w:szCs w:val="24"/>
        </w:rPr>
        <w:t>ndicare i criteri di natura qualitativa o quantitativa concretamente seguiti nella suddivisione in lotti, al fine di garantire l’effettiva possibilità di partecipazione da parte delle microimprese, piccole e medie imprese</w:t>
      </w:r>
      <w:r w:rsidRPr="00AF38A8">
        <w:rPr>
          <w:rFonts w:asciiTheme="minorHAnsi" w:eastAsia="Times New Roman" w:hAnsiTheme="minorHAnsi" w:cstheme="minorHAnsi"/>
          <w:sz w:val="24"/>
          <w:szCs w:val="24"/>
        </w:rPr>
        <w:t>]</w:t>
      </w:r>
    </w:p>
    <w:p w14:paraId="634C24F1" w14:textId="77777777" w:rsidR="00443EB5" w:rsidRDefault="00443EB5"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3E173D8A" w14:textId="56B7C6A2" w:rsidR="00A91201" w:rsidRPr="00AF38A8" w:rsidRDefault="00A91201"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L’appalto è suddiviso nei seguenti lotti:</w:t>
      </w:r>
    </w:p>
    <w:p w14:paraId="1CA0A583" w14:textId="77777777" w:rsidR="00A91201" w:rsidRPr="00AF38A8" w:rsidRDefault="00A91201" w:rsidP="00BD1359">
      <w:pPr>
        <w:pBdr>
          <w:top w:val="nil"/>
          <w:left w:val="nil"/>
          <w:bottom w:val="nil"/>
          <w:right w:val="nil"/>
          <w:between w:val="nil"/>
        </w:pBdr>
        <w:spacing w:line="276" w:lineRule="auto"/>
        <w:ind w:left="234"/>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Tabella n. 3 – Descrizione dei lotti</w:t>
      </w:r>
    </w:p>
    <w:tbl>
      <w:tblPr>
        <w:tblW w:w="96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3"/>
        <w:gridCol w:w="4443"/>
        <w:gridCol w:w="3737"/>
      </w:tblGrid>
      <w:tr w:rsidR="00A91201" w:rsidRPr="00AF38A8" w14:paraId="505166F8" w14:textId="77777777" w:rsidTr="00AF38A8">
        <w:trPr>
          <w:trHeight w:val="853"/>
        </w:trPr>
        <w:tc>
          <w:tcPr>
            <w:tcW w:w="1443" w:type="dxa"/>
            <w:tcBorders>
              <w:bottom w:val="single" w:sz="4" w:space="0" w:color="000000"/>
            </w:tcBorders>
            <w:shd w:val="clear" w:color="auto" w:fill="D9D9D9"/>
          </w:tcPr>
          <w:p w14:paraId="59FA45EA" w14:textId="4E18F630" w:rsidR="00A91201" w:rsidRPr="00AF38A8" w:rsidRDefault="00AF38A8" w:rsidP="00BD1359">
            <w:pPr>
              <w:pBdr>
                <w:top w:val="nil"/>
                <w:left w:val="nil"/>
                <w:bottom w:val="nil"/>
                <w:right w:val="nil"/>
                <w:between w:val="nil"/>
              </w:pBdr>
              <w:spacing w:line="276" w:lineRule="auto"/>
              <w:ind w:left="57"/>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NUMERO</w:t>
            </w:r>
          </w:p>
          <w:p w14:paraId="71590C1B" w14:textId="35C55F9F" w:rsidR="00A91201" w:rsidRPr="00AF38A8" w:rsidRDefault="00AF38A8" w:rsidP="00BD1359">
            <w:pPr>
              <w:pBdr>
                <w:top w:val="nil"/>
                <w:left w:val="nil"/>
                <w:bottom w:val="nil"/>
                <w:right w:val="nil"/>
                <w:between w:val="nil"/>
              </w:pBdr>
              <w:spacing w:line="276" w:lineRule="auto"/>
              <w:ind w:left="57"/>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LOTTO</w:t>
            </w:r>
          </w:p>
        </w:tc>
        <w:tc>
          <w:tcPr>
            <w:tcW w:w="4443" w:type="dxa"/>
            <w:tcBorders>
              <w:bottom w:val="single" w:sz="4" w:space="0" w:color="000000"/>
            </w:tcBorders>
            <w:shd w:val="clear" w:color="auto" w:fill="D9D9D9"/>
          </w:tcPr>
          <w:p w14:paraId="00324972"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2438419B" w14:textId="38D4FA67" w:rsidR="00A91201" w:rsidRPr="00AF38A8" w:rsidRDefault="00AF38A8"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OGGETTO DEL LOTTO</w:t>
            </w:r>
          </w:p>
        </w:tc>
        <w:tc>
          <w:tcPr>
            <w:tcW w:w="3737" w:type="dxa"/>
            <w:tcBorders>
              <w:bottom w:val="single" w:sz="4" w:space="0" w:color="000000"/>
            </w:tcBorders>
            <w:shd w:val="clear" w:color="auto" w:fill="D9D9D9"/>
          </w:tcPr>
          <w:p w14:paraId="1D398AB7"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b/>
                <w:i/>
                <w:szCs w:val="24"/>
              </w:rPr>
            </w:pPr>
          </w:p>
          <w:p w14:paraId="438B4135" w14:textId="08C9C6FB" w:rsidR="00A91201" w:rsidRPr="00AF38A8" w:rsidRDefault="00AF38A8" w:rsidP="00BD1359">
            <w:pPr>
              <w:pBdr>
                <w:top w:val="nil"/>
                <w:left w:val="nil"/>
                <w:bottom w:val="nil"/>
                <w:right w:val="nil"/>
                <w:between w:val="nil"/>
              </w:pBdr>
              <w:spacing w:line="276" w:lineRule="auto"/>
              <w:ind w:left="1622"/>
              <w:rPr>
                <w:rFonts w:asciiTheme="minorHAnsi" w:eastAsia="Times New Roman" w:hAnsiTheme="minorHAnsi" w:cstheme="minorHAnsi"/>
                <w:szCs w:val="24"/>
              </w:rPr>
            </w:pPr>
            <w:r w:rsidRPr="00AF38A8">
              <w:rPr>
                <w:rFonts w:asciiTheme="minorHAnsi" w:eastAsia="Times New Roman" w:hAnsiTheme="minorHAnsi" w:cstheme="minorHAnsi"/>
                <w:szCs w:val="24"/>
              </w:rPr>
              <w:t>CIG</w:t>
            </w:r>
          </w:p>
        </w:tc>
      </w:tr>
      <w:tr w:rsidR="00A91201" w:rsidRPr="00AF38A8" w14:paraId="5F3F53C1" w14:textId="77777777" w:rsidTr="00AF38A8">
        <w:trPr>
          <w:trHeight w:val="455"/>
        </w:trPr>
        <w:tc>
          <w:tcPr>
            <w:tcW w:w="1443" w:type="dxa"/>
            <w:tcBorders>
              <w:top w:val="single" w:sz="4" w:space="0" w:color="000000"/>
              <w:left w:val="single" w:sz="4" w:space="0" w:color="000000"/>
              <w:bottom w:val="single" w:sz="4" w:space="0" w:color="000000"/>
              <w:right w:val="single" w:sz="4" w:space="0" w:color="000000"/>
            </w:tcBorders>
          </w:tcPr>
          <w:p w14:paraId="5DE81454"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2B60CB5C"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3B665107"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A91201" w:rsidRPr="00AF38A8" w14:paraId="4BF8048D" w14:textId="77777777" w:rsidTr="00AF38A8">
        <w:trPr>
          <w:trHeight w:val="304"/>
        </w:trPr>
        <w:tc>
          <w:tcPr>
            <w:tcW w:w="1443" w:type="dxa"/>
            <w:tcBorders>
              <w:top w:val="single" w:sz="4" w:space="0" w:color="000000"/>
              <w:left w:val="single" w:sz="4" w:space="0" w:color="000000"/>
              <w:bottom w:val="single" w:sz="4" w:space="0" w:color="000000"/>
              <w:right w:val="single" w:sz="4" w:space="0" w:color="000000"/>
            </w:tcBorders>
          </w:tcPr>
          <w:p w14:paraId="1B7D07A1"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269A7046"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0DD1FD88"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A91201" w:rsidRPr="00AF38A8" w14:paraId="181B620D" w14:textId="77777777" w:rsidTr="00AF38A8">
        <w:trPr>
          <w:trHeight w:val="456"/>
        </w:trPr>
        <w:tc>
          <w:tcPr>
            <w:tcW w:w="1443" w:type="dxa"/>
            <w:tcBorders>
              <w:top w:val="single" w:sz="4" w:space="0" w:color="000000"/>
              <w:left w:val="single" w:sz="4" w:space="0" w:color="000000"/>
              <w:bottom w:val="single" w:sz="4" w:space="0" w:color="000000"/>
              <w:right w:val="single" w:sz="4" w:space="0" w:color="000000"/>
            </w:tcBorders>
          </w:tcPr>
          <w:p w14:paraId="04D36D44"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3E138D97"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0F2BA310"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A91201" w:rsidRPr="00AF38A8" w14:paraId="0D1BC34F" w14:textId="77777777" w:rsidTr="00AF38A8">
        <w:trPr>
          <w:trHeight w:val="456"/>
        </w:trPr>
        <w:tc>
          <w:tcPr>
            <w:tcW w:w="1443" w:type="dxa"/>
            <w:tcBorders>
              <w:top w:val="single" w:sz="4" w:space="0" w:color="000000"/>
              <w:left w:val="single" w:sz="4" w:space="0" w:color="000000"/>
              <w:bottom w:val="single" w:sz="4" w:space="0" w:color="000000"/>
              <w:right w:val="single" w:sz="4" w:space="0" w:color="000000"/>
            </w:tcBorders>
          </w:tcPr>
          <w:p w14:paraId="6D8D39E7"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5DF34110"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5813DD40"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A91201" w:rsidRPr="00AF38A8" w14:paraId="217DF6DD" w14:textId="77777777" w:rsidTr="00AF38A8">
        <w:trPr>
          <w:trHeight w:val="456"/>
        </w:trPr>
        <w:tc>
          <w:tcPr>
            <w:tcW w:w="1443" w:type="dxa"/>
            <w:tcBorders>
              <w:top w:val="single" w:sz="4" w:space="0" w:color="000000"/>
              <w:left w:val="single" w:sz="4" w:space="0" w:color="000000"/>
              <w:bottom w:val="single" w:sz="4" w:space="0" w:color="000000"/>
              <w:right w:val="single" w:sz="4" w:space="0" w:color="000000"/>
            </w:tcBorders>
          </w:tcPr>
          <w:p w14:paraId="7D20661E"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5EFA847C"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4BB95EFD"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 w:val="24"/>
                <w:szCs w:val="24"/>
              </w:rPr>
            </w:pPr>
          </w:p>
        </w:tc>
      </w:tr>
    </w:tbl>
    <w:p w14:paraId="787445C9"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b/>
          <w:i/>
          <w:sz w:val="24"/>
          <w:szCs w:val="24"/>
        </w:rPr>
      </w:pPr>
    </w:p>
    <w:p w14:paraId="1FA6377E" w14:textId="77777777" w:rsidR="00A91201" w:rsidRPr="00AF38A8" w:rsidRDefault="00A91201"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dettaglio delle prestazioni oggetto di ogni lotto è il seguente:</w:t>
      </w:r>
    </w:p>
    <w:p w14:paraId="46AB9FD6" w14:textId="77777777" w:rsidR="00A91201" w:rsidRPr="00AF38A8" w:rsidRDefault="00A91201"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[Ripetere per ogni lotto]</w:t>
      </w:r>
    </w:p>
    <w:p w14:paraId="411F9E06" w14:textId="77777777" w:rsidR="00A91201" w:rsidRPr="00AF38A8" w:rsidRDefault="00A91201"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Lotto n...........[</w:t>
      </w:r>
      <w:r w:rsidRPr="00AF38A8">
        <w:rPr>
          <w:rFonts w:asciiTheme="minorHAnsi" w:eastAsia="Times New Roman" w:hAnsiTheme="minorHAnsi" w:cstheme="minorHAnsi"/>
          <w:i/>
          <w:sz w:val="24"/>
          <w:szCs w:val="24"/>
        </w:rPr>
        <w:t>indicare il numero di lotto</w:t>
      </w:r>
      <w:r w:rsidRPr="00AF38A8">
        <w:rPr>
          <w:rFonts w:asciiTheme="minorHAnsi" w:eastAsia="Times New Roman" w:hAnsiTheme="minorHAnsi" w:cstheme="minorHAnsi"/>
          <w:sz w:val="24"/>
          <w:szCs w:val="24"/>
        </w:rPr>
        <w:t>] CIG ................................</w:t>
      </w:r>
    </w:p>
    <w:p w14:paraId="74FE1861" w14:textId="77777777" w:rsidR="00A91201" w:rsidRPr="00AF38A8" w:rsidRDefault="00A91201"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b/>
          <w:i/>
          <w:sz w:val="24"/>
          <w:szCs w:val="24"/>
        </w:rPr>
      </w:pPr>
    </w:p>
    <w:p w14:paraId="52FA3706" w14:textId="77777777" w:rsidR="00A91201" w:rsidRPr="00AF38A8" w:rsidRDefault="00A91201"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b/>
          <w:i/>
          <w:sz w:val="24"/>
          <w:szCs w:val="24"/>
        </w:rPr>
        <w:lastRenderedPageBreak/>
        <w:t>Tabella n. 4 – Oggetto dell’appalto</w:t>
      </w:r>
    </w:p>
    <w:tbl>
      <w:tblPr>
        <w:tblW w:w="10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53"/>
        <w:gridCol w:w="978"/>
        <w:gridCol w:w="2161"/>
        <w:gridCol w:w="2161"/>
      </w:tblGrid>
      <w:tr w:rsidR="00A91201" w:rsidRPr="00AF38A8" w14:paraId="5140C892" w14:textId="77777777" w:rsidTr="00A91201">
        <w:trPr>
          <w:trHeight w:val="1270"/>
          <w:jc w:val="center"/>
        </w:trPr>
        <w:tc>
          <w:tcPr>
            <w:tcW w:w="5153" w:type="dxa"/>
            <w:tcBorders>
              <w:bottom w:val="single" w:sz="4" w:space="0" w:color="000000"/>
            </w:tcBorders>
            <w:shd w:val="clear" w:color="auto" w:fill="D9D9D9"/>
          </w:tcPr>
          <w:p w14:paraId="641DCFB2"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b/>
                <w:i/>
                <w:szCs w:val="24"/>
              </w:rPr>
            </w:pPr>
          </w:p>
          <w:p w14:paraId="66B5DCCB"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Descrizione delle prestazioni</w:t>
            </w:r>
          </w:p>
        </w:tc>
        <w:tc>
          <w:tcPr>
            <w:tcW w:w="978" w:type="dxa"/>
            <w:shd w:val="clear" w:color="auto" w:fill="D9D9D9"/>
          </w:tcPr>
          <w:p w14:paraId="69E43E9F"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b/>
                <w:i/>
                <w:szCs w:val="24"/>
              </w:rPr>
            </w:pPr>
          </w:p>
          <w:p w14:paraId="744342A9" w14:textId="77777777" w:rsidR="00A91201" w:rsidRPr="00AF38A8" w:rsidRDefault="00A91201" w:rsidP="00BD1359">
            <w:pPr>
              <w:pBdr>
                <w:top w:val="nil"/>
                <w:left w:val="nil"/>
                <w:bottom w:val="nil"/>
                <w:right w:val="nil"/>
                <w:between w:val="nil"/>
              </w:pBdr>
              <w:spacing w:line="276" w:lineRule="auto"/>
              <w:ind w:left="219"/>
              <w:rPr>
                <w:rFonts w:asciiTheme="minorHAnsi" w:eastAsia="Times New Roman" w:hAnsiTheme="minorHAnsi" w:cstheme="minorHAnsi"/>
                <w:szCs w:val="24"/>
              </w:rPr>
            </w:pPr>
            <w:r w:rsidRPr="00AF38A8">
              <w:rPr>
                <w:rFonts w:asciiTheme="minorHAnsi" w:eastAsia="Times New Roman" w:hAnsiTheme="minorHAnsi" w:cstheme="minorHAnsi"/>
                <w:szCs w:val="24"/>
              </w:rPr>
              <w:t>CPV</w:t>
            </w:r>
          </w:p>
        </w:tc>
        <w:tc>
          <w:tcPr>
            <w:tcW w:w="2161" w:type="dxa"/>
            <w:shd w:val="clear" w:color="auto" w:fill="D9D9D9"/>
          </w:tcPr>
          <w:p w14:paraId="5361329F"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szCs w:val="24"/>
              </w:rPr>
            </w:pPr>
          </w:p>
          <w:p w14:paraId="52DFE6E3"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P (principale)</w:t>
            </w:r>
          </w:p>
          <w:p w14:paraId="72A9663B" w14:textId="77777777" w:rsidR="00A91201" w:rsidRPr="00AF38A8" w:rsidRDefault="00A91201"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r w:rsidRPr="00AF38A8">
              <w:rPr>
                <w:rFonts w:asciiTheme="minorHAnsi" w:eastAsia="Times New Roman" w:hAnsiTheme="minorHAnsi" w:cstheme="minorHAnsi"/>
                <w:szCs w:val="24"/>
              </w:rPr>
              <w:t>S (secondaria)</w:t>
            </w:r>
          </w:p>
        </w:tc>
        <w:tc>
          <w:tcPr>
            <w:tcW w:w="2161" w:type="dxa"/>
            <w:tcBorders>
              <w:bottom w:val="single" w:sz="4" w:space="0" w:color="000000"/>
            </w:tcBorders>
            <w:shd w:val="clear" w:color="auto" w:fill="D9D9D9"/>
          </w:tcPr>
          <w:p w14:paraId="67C3E87B" w14:textId="77777777" w:rsidR="00A91201" w:rsidRPr="00AF38A8" w:rsidRDefault="00A91201" w:rsidP="00BD1359">
            <w:pPr>
              <w:pBdr>
                <w:top w:val="nil"/>
                <w:left w:val="nil"/>
                <w:bottom w:val="nil"/>
                <w:right w:val="nil"/>
                <w:between w:val="nil"/>
              </w:pBdr>
              <w:spacing w:line="276" w:lineRule="auto"/>
              <w:rPr>
                <w:rFonts w:asciiTheme="minorHAnsi" w:eastAsia="Times New Roman" w:hAnsiTheme="minorHAnsi" w:cstheme="minorHAnsi"/>
                <w:b/>
                <w:i/>
                <w:szCs w:val="24"/>
              </w:rPr>
            </w:pPr>
          </w:p>
          <w:p w14:paraId="61BAAB0C" w14:textId="77777777" w:rsidR="00A91201" w:rsidRPr="00AF38A8" w:rsidRDefault="00A91201" w:rsidP="00BD1359">
            <w:pPr>
              <w:pBdr>
                <w:top w:val="nil"/>
                <w:left w:val="nil"/>
                <w:bottom w:val="nil"/>
                <w:right w:val="nil"/>
                <w:between w:val="nil"/>
              </w:pBdr>
              <w:spacing w:line="276" w:lineRule="auto"/>
              <w:ind w:left="636"/>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Importo</w:t>
            </w:r>
          </w:p>
        </w:tc>
      </w:tr>
      <w:tr w:rsidR="00A91201" w:rsidRPr="00AF38A8" w14:paraId="7AA8CD54" w14:textId="77777777" w:rsidTr="00A91201">
        <w:trPr>
          <w:trHeight w:val="856"/>
          <w:jc w:val="center"/>
        </w:trPr>
        <w:tc>
          <w:tcPr>
            <w:tcW w:w="5153" w:type="dxa"/>
            <w:tcBorders>
              <w:top w:val="single" w:sz="4" w:space="0" w:color="000000"/>
              <w:left w:val="single" w:sz="4" w:space="0" w:color="000000"/>
              <w:bottom w:val="single" w:sz="4" w:space="0" w:color="000000"/>
              <w:right w:val="single" w:sz="4" w:space="0" w:color="000000"/>
            </w:tcBorders>
          </w:tcPr>
          <w:p w14:paraId="3D5B6161" w14:textId="77777777" w:rsidR="00A91201" w:rsidRPr="00AF38A8" w:rsidRDefault="00A91201" w:rsidP="00BD1359">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p w14:paraId="75B3A5FE" w14:textId="77777777" w:rsidR="00A91201" w:rsidRPr="00AF38A8" w:rsidRDefault="00A91201" w:rsidP="00BD1359">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[ad es. progettazione]</w:t>
            </w:r>
          </w:p>
        </w:tc>
        <w:tc>
          <w:tcPr>
            <w:tcW w:w="978" w:type="dxa"/>
            <w:tcBorders>
              <w:left w:val="single" w:sz="4" w:space="0" w:color="000000"/>
              <w:bottom w:val="single" w:sz="4" w:space="0" w:color="000000"/>
              <w:right w:val="single" w:sz="4" w:space="0" w:color="000000"/>
            </w:tcBorders>
          </w:tcPr>
          <w:p w14:paraId="07F406B9" w14:textId="77777777" w:rsidR="00A91201" w:rsidRPr="00AF38A8" w:rsidRDefault="00A91201" w:rsidP="00BD1359">
            <w:pPr>
              <w:pBdr>
                <w:top w:val="nil"/>
                <w:left w:val="nil"/>
                <w:bottom w:val="nil"/>
                <w:right w:val="nil"/>
                <w:between w:val="nil"/>
              </w:pBdr>
              <w:spacing w:line="276" w:lineRule="auto"/>
              <w:ind w:left="15"/>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left w:val="single" w:sz="4" w:space="0" w:color="000000"/>
              <w:bottom w:val="single" w:sz="4" w:space="0" w:color="000000"/>
              <w:right w:val="single" w:sz="4" w:space="0" w:color="000000"/>
            </w:tcBorders>
          </w:tcPr>
          <w:p w14:paraId="37B2AE04" w14:textId="77777777" w:rsidR="00A91201" w:rsidRPr="00AF38A8" w:rsidRDefault="00A91201" w:rsidP="00BD1359">
            <w:pPr>
              <w:pBdr>
                <w:top w:val="nil"/>
                <w:left w:val="nil"/>
                <w:bottom w:val="nil"/>
                <w:right w:val="nil"/>
                <w:between w:val="nil"/>
              </w:pBdr>
              <w:spacing w:line="276" w:lineRule="auto"/>
              <w:ind w:left="266"/>
              <w:jc w:val="center"/>
              <w:rPr>
                <w:rFonts w:asciiTheme="minorHAnsi" w:eastAsia="Times New Roman" w:hAnsiTheme="minorHAnsi" w:cstheme="minorHAnsi"/>
                <w:szCs w:val="24"/>
              </w:rPr>
            </w:pPr>
          </w:p>
        </w:tc>
        <w:tc>
          <w:tcPr>
            <w:tcW w:w="2161" w:type="dxa"/>
            <w:tcBorders>
              <w:top w:val="single" w:sz="4" w:space="0" w:color="000000"/>
              <w:left w:val="single" w:sz="4" w:space="0" w:color="000000"/>
              <w:bottom w:val="single" w:sz="4" w:space="0" w:color="000000"/>
              <w:right w:val="single" w:sz="4" w:space="0" w:color="000000"/>
            </w:tcBorders>
          </w:tcPr>
          <w:p w14:paraId="5CCA9BE1" w14:textId="77777777" w:rsidR="00A91201" w:rsidRPr="00AF38A8" w:rsidRDefault="00A91201" w:rsidP="00BD1359">
            <w:pPr>
              <w:pBdr>
                <w:top w:val="nil"/>
                <w:left w:val="nil"/>
                <w:bottom w:val="nil"/>
                <w:right w:val="nil"/>
                <w:between w:val="nil"/>
              </w:pBdr>
              <w:spacing w:line="276" w:lineRule="auto"/>
              <w:ind w:left="266"/>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 ….</w:t>
            </w:r>
          </w:p>
          <w:p w14:paraId="63CAEB11" w14:textId="77777777" w:rsidR="00A91201" w:rsidRPr="00AF38A8" w:rsidRDefault="00A91201" w:rsidP="00BD1359">
            <w:pPr>
              <w:pBdr>
                <w:top w:val="nil"/>
                <w:left w:val="nil"/>
                <w:bottom w:val="nil"/>
                <w:right w:val="nil"/>
                <w:between w:val="nil"/>
              </w:pBdr>
              <w:spacing w:line="276" w:lineRule="auto"/>
              <w:ind w:left="266"/>
              <w:jc w:val="center"/>
              <w:rPr>
                <w:rFonts w:asciiTheme="minorHAnsi" w:eastAsia="Times New Roman" w:hAnsiTheme="minorHAnsi" w:cstheme="minorHAnsi"/>
                <w:i/>
                <w:szCs w:val="24"/>
              </w:rPr>
            </w:pPr>
          </w:p>
        </w:tc>
      </w:tr>
      <w:tr w:rsidR="00A91201" w:rsidRPr="00AF38A8" w14:paraId="78CC8FD8" w14:textId="77777777" w:rsidTr="00A91201">
        <w:trPr>
          <w:trHeight w:val="852"/>
          <w:jc w:val="center"/>
        </w:trPr>
        <w:tc>
          <w:tcPr>
            <w:tcW w:w="5153" w:type="dxa"/>
            <w:tcBorders>
              <w:top w:val="single" w:sz="4" w:space="0" w:color="000000"/>
              <w:left w:val="single" w:sz="4" w:space="0" w:color="000000"/>
              <w:bottom w:val="single" w:sz="4" w:space="0" w:color="000000"/>
              <w:right w:val="single" w:sz="4" w:space="0" w:color="000000"/>
            </w:tcBorders>
          </w:tcPr>
          <w:p w14:paraId="38DA0DC5" w14:textId="77777777" w:rsidR="00A91201" w:rsidRPr="00AF38A8" w:rsidRDefault="00A91201" w:rsidP="00BD1359">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p w14:paraId="204F1AF5" w14:textId="29D6958E" w:rsidR="00A91201" w:rsidRPr="00AF38A8" w:rsidRDefault="00A91201" w:rsidP="00BD1359">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[ad e</w:t>
            </w:r>
            <w:r w:rsidR="00443EB5">
              <w:rPr>
                <w:rFonts w:asciiTheme="minorHAnsi" w:eastAsia="Times New Roman" w:hAnsiTheme="minorHAnsi" w:cstheme="minorHAnsi"/>
                <w:i/>
                <w:szCs w:val="24"/>
              </w:rPr>
              <w:t>s</w:t>
            </w:r>
            <w:r w:rsidRPr="00AF38A8">
              <w:rPr>
                <w:rFonts w:asciiTheme="minorHAnsi" w:eastAsia="Times New Roman" w:hAnsiTheme="minorHAnsi" w:cstheme="minorHAnsi"/>
                <w:i/>
                <w:szCs w:val="24"/>
              </w:rPr>
              <w:t>. coordinamento sicurezza in fase di progettazione]</w:t>
            </w:r>
          </w:p>
        </w:tc>
        <w:tc>
          <w:tcPr>
            <w:tcW w:w="978" w:type="dxa"/>
            <w:tcBorders>
              <w:top w:val="single" w:sz="4" w:space="0" w:color="000000"/>
              <w:left w:val="single" w:sz="4" w:space="0" w:color="000000"/>
              <w:bottom w:val="single" w:sz="4" w:space="0" w:color="000000"/>
              <w:right w:val="single" w:sz="4" w:space="0" w:color="000000"/>
            </w:tcBorders>
          </w:tcPr>
          <w:p w14:paraId="15C9DB0F" w14:textId="77777777" w:rsidR="00A91201" w:rsidRPr="00AF38A8" w:rsidRDefault="00A91201" w:rsidP="00BD1359">
            <w:pPr>
              <w:pBdr>
                <w:top w:val="nil"/>
                <w:left w:val="nil"/>
                <w:bottom w:val="nil"/>
                <w:right w:val="nil"/>
                <w:between w:val="nil"/>
              </w:pBdr>
              <w:spacing w:line="276" w:lineRule="auto"/>
              <w:ind w:left="15"/>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7BE58ECF" w14:textId="77777777" w:rsidR="00A91201" w:rsidRPr="00AF38A8" w:rsidRDefault="00A91201" w:rsidP="00BD1359">
            <w:pPr>
              <w:pBdr>
                <w:top w:val="nil"/>
                <w:left w:val="nil"/>
                <w:bottom w:val="nil"/>
                <w:right w:val="nil"/>
                <w:between w:val="nil"/>
              </w:pBdr>
              <w:spacing w:line="276" w:lineRule="auto"/>
              <w:ind w:left="266"/>
              <w:jc w:val="center"/>
              <w:rPr>
                <w:rFonts w:asciiTheme="minorHAnsi" w:eastAsia="Times New Roman" w:hAnsiTheme="minorHAnsi" w:cstheme="minorHAnsi"/>
                <w:szCs w:val="24"/>
              </w:rPr>
            </w:pPr>
          </w:p>
        </w:tc>
        <w:tc>
          <w:tcPr>
            <w:tcW w:w="2161" w:type="dxa"/>
            <w:tcBorders>
              <w:top w:val="single" w:sz="4" w:space="0" w:color="000000"/>
              <w:left w:val="single" w:sz="4" w:space="0" w:color="000000"/>
              <w:bottom w:val="single" w:sz="4" w:space="0" w:color="000000"/>
              <w:right w:val="single" w:sz="4" w:space="0" w:color="000000"/>
            </w:tcBorders>
          </w:tcPr>
          <w:p w14:paraId="30A49C87" w14:textId="77777777" w:rsidR="00A91201" w:rsidRPr="00AF38A8" w:rsidRDefault="00A91201" w:rsidP="00BD1359">
            <w:pPr>
              <w:pBdr>
                <w:top w:val="nil"/>
                <w:left w:val="nil"/>
                <w:bottom w:val="nil"/>
                <w:right w:val="nil"/>
                <w:between w:val="nil"/>
              </w:pBdr>
              <w:spacing w:line="276" w:lineRule="auto"/>
              <w:ind w:left="266"/>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 ….</w:t>
            </w:r>
          </w:p>
          <w:p w14:paraId="3615AE4D" w14:textId="77777777" w:rsidR="00A91201" w:rsidRPr="00AF38A8" w:rsidRDefault="00A91201" w:rsidP="00BD1359">
            <w:pPr>
              <w:pBdr>
                <w:top w:val="nil"/>
                <w:left w:val="nil"/>
                <w:bottom w:val="nil"/>
                <w:right w:val="nil"/>
                <w:between w:val="nil"/>
              </w:pBdr>
              <w:spacing w:line="276" w:lineRule="auto"/>
              <w:ind w:left="266"/>
              <w:rPr>
                <w:rFonts w:asciiTheme="minorHAnsi" w:eastAsia="Times New Roman" w:hAnsiTheme="minorHAnsi" w:cstheme="minorHAnsi"/>
                <w:i/>
                <w:szCs w:val="24"/>
              </w:rPr>
            </w:pPr>
          </w:p>
        </w:tc>
      </w:tr>
      <w:tr w:rsidR="00A91201" w:rsidRPr="00AF38A8" w14:paraId="3546A837" w14:textId="77777777" w:rsidTr="00A91201">
        <w:trPr>
          <w:trHeight w:val="456"/>
          <w:jc w:val="center"/>
        </w:trPr>
        <w:tc>
          <w:tcPr>
            <w:tcW w:w="5153" w:type="dxa"/>
            <w:tcBorders>
              <w:top w:val="single" w:sz="4" w:space="0" w:color="000000"/>
              <w:left w:val="single" w:sz="4" w:space="0" w:color="000000"/>
              <w:bottom w:val="single" w:sz="4" w:space="0" w:color="000000"/>
              <w:right w:val="single" w:sz="4" w:space="0" w:color="000000"/>
            </w:tcBorders>
          </w:tcPr>
          <w:p w14:paraId="5AB7436F" w14:textId="6E0DFE02" w:rsidR="00A91201" w:rsidRPr="00AF38A8" w:rsidRDefault="00443EB5" w:rsidP="00BD1359">
            <w:pPr>
              <w:pBdr>
                <w:top w:val="nil"/>
                <w:left w:val="nil"/>
                <w:bottom w:val="nil"/>
                <w:right w:val="nil"/>
                <w:between w:val="nil"/>
              </w:pBdr>
              <w:spacing w:line="276" w:lineRule="auto"/>
              <w:ind w:left="400"/>
              <w:jc w:val="center"/>
              <w:rPr>
                <w:rFonts w:asciiTheme="minorHAnsi" w:eastAsia="Times New Roman" w:hAnsiTheme="minorHAnsi" w:cstheme="minorHAnsi"/>
                <w:bCs/>
                <w:i/>
                <w:iCs/>
                <w:szCs w:val="24"/>
              </w:rPr>
            </w:pPr>
            <w:r>
              <w:rPr>
                <w:rFonts w:asciiTheme="minorHAnsi" w:eastAsia="Times New Roman" w:hAnsiTheme="minorHAnsi" w:cstheme="minorHAnsi"/>
                <w:bCs/>
                <w:i/>
                <w:iCs/>
                <w:szCs w:val="24"/>
              </w:rPr>
              <w:t>[d</w:t>
            </w:r>
            <w:r w:rsidR="00A91201" w:rsidRPr="00AF38A8">
              <w:rPr>
                <w:rFonts w:asciiTheme="minorHAnsi" w:eastAsia="Times New Roman" w:hAnsiTheme="minorHAnsi" w:cstheme="minorHAnsi"/>
                <w:bCs/>
                <w:i/>
                <w:iCs/>
                <w:szCs w:val="24"/>
              </w:rPr>
              <w:t>irezione Lavori e di coordinamento della sicurezza in fase di esecuzione (se prevista come opzione)</w:t>
            </w:r>
          </w:p>
        </w:tc>
        <w:tc>
          <w:tcPr>
            <w:tcW w:w="978" w:type="dxa"/>
            <w:tcBorders>
              <w:top w:val="single" w:sz="4" w:space="0" w:color="000000"/>
              <w:left w:val="single" w:sz="4" w:space="0" w:color="000000"/>
              <w:bottom w:val="single" w:sz="4" w:space="0" w:color="000000"/>
              <w:right w:val="single" w:sz="4" w:space="0" w:color="000000"/>
            </w:tcBorders>
          </w:tcPr>
          <w:p w14:paraId="43A2DDCE" w14:textId="77777777" w:rsidR="00A91201" w:rsidRPr="00AF38A8" w:rsidRDefault="00A91201" w:rsidP="00BD1359">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5A23F190" w14:textId="77777777" w:rsidR="00A91201" w:rsidRPr="00AF38A8" w:rsidRDefault="00A91201" w:rsidP="00BD1359">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p>
        </w:tc>
        <w:tc>
          <w:tcPr>
            <w:tcW w:w="2161" w:type="dxa"/>
            <w:tcBorders>
              <w:top w:val="single" w:sz="4" w:space="0" w:color="000000"/>
              <w:left w:val="single" w:sz="4" w:space="0" w:color="000000"/>
              <w:bottom w:val="single" w:sz="4" w:space="0" w:color="000000"/>
              <w:right w:val="single" w:sz="4" w:space="0" w:color="000000"/>
            </w:tcBorders>
          </w:tcPr>
          <w:p w14:paraId="2FF71753" w14:textId="77777777" w:rsidR="00A91201" w:rsidRPr="00AF38A8" w:rsidRDefault="00A91201" w:rsidP="00BD1359">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r>
      <w:tr w:rsidR="00A91201" w:rsidRPr="00AF38A8" w14:paraId="5CBE7921" w14:textId="77777777" w:rsidTr="00A91201">
        <w:trPr>
          <w:trHeight w:val="456"/>
          <w:jc w:val="center"/>
        </w:trPr>
        <w:tc>
          <w:tcPr>
            <w:tcW w:w="5153" w:type="dxa"/>
            <w:tcBorders>
              <w:top w:val="single" w:sz="4" w:space="0" w:color="000000"/>
              <w:left w:val="single" w:sz="4" w:space="0" w:color="000000"/>
              <w:bottom w:val="single" w:sz="4" w:space="0" w:color="000000"/>
              <w:right w:val="single" w:sz="4" w:space="0" w:color="000000"/>
            </w:tcBorders>
          </w:tcPr>
          <w:p w14:paraId="72B01062" w14:textId="77777777" w:rsidR="00A91201" w:rsidRPr="00AF38A8" w:rsidRDefault="00A91201" w:rsidP="00BD1359">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978" w:type="dxa"/>
            <w:tcBorders>
              <w:top w:val="single" w:sz="4" w:space="0" w:color="000000"/>
              <w:left w:val="single" w:sz="4" w:space="0" w:color="000000"/>
              <w:bottom w:val="single" w:sz="4" w:space="0" w:color="000000"/>
              <w:right w:val="single" w:sz="4" w:space="0" w:color="000000"/>
            </w:tcBorders>
          </w:tcPr>
          <w:p w14:paraId="6771679A" w14:textId="77777777" w:rsidR="00A91201" w:rsidRPr="00AF38A8" w:rsidRDefault="00A91201" w:rsidP="00BD1359">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04A05D49" w14:textId="77777777" w:rsidR="00A91201" w:rsidRPr="00AF38A8" w:rsidRDefault="00A91201" w:rsidP="00BD1359">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p>
        </w:tc>
        <w:tc>
          <w:tcPr>
            <w:tcW w:w="2161" w:type="dxa"/>
            <w:tcBorders>
              <w:top w:val="single" w:sz="4" w:space="0" w:color="000000"/>
              <w:left w:val="single" w:sz="4" w:space="0" w:color="000000"/>
              <w:bottom w:val="single" w:sz="4" w:space="0" w:color="000000"/>
              <w:right w:val="single" w:sz="4" w:space="0" w:color="000000"/>
            </w:tcBorders>
          </w:tcPr>
          <w:p w14:paraId="172760EF" w14:textId="77777777" w:rsidR="00A91201" w:rsidRPr="00AF38A8" w:rsidRDefault="00A91201" w:rsidP="00BD1359">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r>
      <w:tr w:rsidR="00A91201" w:rsidRPr="00AF38A8" w14:paraId="0CE90D25" w14:textId="77777777" w:rsidTr="00A91201">
        <w:trPr>
          <w:trHeight w:val="456"/>
          <w:jc w:val="center"/>
        </w:trPr>
        <w:tc>
          <w:tcPr>
            <w:tcW w:w="6131" w:type="dxa"/>
            <w:gridSpan w:val="2"/>
            <w:tcBorders>
              <w:top w:val="single" w:sz="4" w:space="0" w:color="000000"/>
              <w:left w:val="single" w:sz="4" w:space="0" w:color="000000"/>
              <w:bottom w:val="single" w:sz="4" w:space="0" w:color="000000"/>
              <w:right w:val="single" w:sz="4" w:space="0" w:color="000000"/>
            </w:tcBorders>
          </w:tcPr>
          <w:p w14:paraId="1239CBB2" w14:textId="77777777" w:rsidR="00A91201" w:rsidRPr="00AF38A8" w:rsidRDefault="00A91201" w:rsidP="00BD1359">
            <w:pPr>
              <w:pBdr>
                <w:top w:val="nil"/>
                <w:left w:val="nil"/>
                <w:bottom w:val="nil"/>
                <w:right w:val="nil"/>
                <w:between w:val="nil"/>
              </w:pBdr>
              <w:spacing w:line="276" w:lineRule="auto"/>
              <w:ind w:left="3829"/>
              <w:rPr>
                <w:rFonts w:asciiTheme="minorHAnsi" w:eastAsia="Times New Roman" w:hAnsiTheme="minorHAnsi" w:cstheme="minorHAnsi"/>
                <w:b/>
                <w:szCs w:val="24"/>
              </w:rPr>
            </w:pPr>
            <w:r w:rsidRPr="00AF38A8">
              <w:rPr>
                <w:rFonts w:asciiTheme="minorHAnsi" w:eastAsia="Times New Roman" w:hAnsiTheme="minorHAnsi" w:cstheme="minorHAnsi"/>
                <w:b/>
                <w:szCs w:val="24"/>
              </w:rPr>
              <w:t>Importo totale a base di gara</w:t>
            </w:r>
          </w:p>
        </w:tc>
        <w:tc>
          <w:tcPr>
            <w:tcW w:w="2161" w:type="dxa"/>
            <w:tcBorders>
              <w:top w:val="single" w:sz="4" w:space="0" w:color="000000"/>
              <w:left w:val="single" w:sz="4" w:space="0" w:color="000000"/>
              <w:bottom w:val="single" w:sz="4" w:space="0" w:color="000000"/>
              <w:right w:val="single" w:sz="4" w:space="0" w:color="000000"/>
            </w:tcBorders>
          </w:tcPr>
          <w:p w14:paraId="4E4823EF" w14:textId="77777777" w:rsidR="00A91201" w:rsidRPr="00AF38A8" w:rsidRDefault="00A91201" w:rsidP="00BD1359">
            <w:pPr>
              <w:pBdr>
                <w:top w:val="nil"/>
                <w:left w:val="nil"/>
                <w:bottom w:val="nil"/>
                <w:right w:val="nil"/>
                <w:between w:val="nil"/>
              </w:pBdr>
              <w:spacing w:line="276" w:lineRule="auto"/>
              <w:ind w:left="265"/>
              <w:jc w:val="center"/>
              <w:rPr>
                <w:rFonts w:asciiTheme="minorHAnsi" w:eastAsia="Times New Roman" w:hAnsiTheme="minorHAnsi" w:cstheme="minorHAnsi"/>
                <w:b/>
                <w:szCs w:val="24"/>
              </w:rPr>
            </w:pPr>
          </w:p>
        </w:tc>
        <w:tc>
          <w:tcPr>
            <w:tcW w:w="2161" w:type="dxa"/>
            <w:tcBorders>
              <w:top w:val="single" w:sz="4" w:space="0" w:color="000000"/>
              <w:left w:val="single" w:sz="4" w:space="0" w:color="000000"/>
              <w:bottom w:val="single" w:sz="4" w:space="0" w:color="000000"/>
              <w:right w:val="single" w:sz="4" w:space="0" w:color="000000"/>
            </w:tcBorders>
          </w:tcPr>
          <w:p w14:paraId="40977179" w14:textId="77777777" w:rsidR="00A91201" w:rsidRPr="00AF38A8" w:rsidRDefault="00A91201" w:rsidP="00BD1359">
            <w:pPr>
              <w:pBdr>
                <w:top w:val="nil"/>
                <w:left w:val="nil"/>
                <w:bottom w:val="nil"/>
                <w:right w:val="nil"/>
                <w:between w:val="nil"/>
              </w:pBdr>
              <w:spacing w:line="276" w:lineRule="auto"/>
              <w:ind w:left="265"/>
              <w:jc w:val="center"/>
              <w:rPr>
                <w:rFonts w:asciiTheme="minorHAnsi" w:eastAsia="Times New Roman" w:hAnsiTheme="minorHAnsi" w:cstheme="minorHAnsi"/>
                <w:b/>
                <w:szCs w:val="24"/>
              </w:rPr>
            </w:pPr>
            <w:r w:rsidRPr="00AF38A8">
              <w:rPr>
                <w:rFonts w:asciiTheme="minorHAnsi" w:eastAsia="Times New Roman" w:hAnsiTheme="minorHAnsi" w:cstheme="minorHAnsi"/>
                <w:b/>
                <w:szCs w:val="24"/>
              </w:rPr>
              <w:t>....</w:t>
            </w:r>
          </w:p>
        </w:tc>
      </w:tr>
    </w:tbl>
    <w:p w14:paraId="0B74B03E" w14:textId="77777777" w:rsidR="00AF38A8" w:rsidRDefault="00AF38A8"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4D449DF4" w14:textId="77777777" w:rsidR="00DC6F3B" w:rsidRPr="00DC6F3B" w:rsidRDefault="00DC6F3B"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La stazione appaltante si riserva di affidare l’incarico di Direzione Lavori e di coordinamento della sicurezza in fase di esecuzione al progettista solo dopo l'approvazione del progetto da parte del Commissario straordinario ai sensi dell’art. 4, comma 4, dell’Ordinanza n. 56 del 10/05/2018.</w:t>
      </w:r>
    </w:p>
    <w:p w14:paraId="5C6C7307" w14:textId="77777777" w:rsidR="00DC6F3B" w:rsidRPr="00DC6F3B" w:rsidRDefault="00DC6F3B"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Si applicano, al direttore dei lavori, i divieti previsti dall’articolo 34, comma 4, del decreto legge 17 ottobre 2016, n. 189 (“</w:t>
      </w:r>
      <w:r w:rsidRPr="00DC6F3B">
        <w:rPr>
          <w:rFonts w:asciiTheme="minorHAnsi" w:eastAsia="Times New Roman" w:hAnsiTheme="minorHAnsi" w:cstheme="minorHAnsi"/>
          <w:i/>
          <w:sz w:val="24"/>
          <w:szCs w:val="24"/>
        </w:rPr>
        <w:t>Interventi urgenti in favore delle popolazioni colpite dagli eventi sismici del 2016”</w:t>
      </w:r>
      <w:r w:rsidRPr="00DC6F3B">
        <w:rPr>
          <w:rFonts w:asciiTheme="minorHAnsi" w:eastAsia="Times New Roman" w:hAnsiTheme="minorHAnsi" w:cstheme="minorHAnsi"/>
          <w:sz w:val="24"/>
          <w:szCs w:val="24"/>
        </w:rPr>
        <w:t>), convertito con modificazioni dalla legge 15 dicembre 2016, n. 229.</w:t>
      </w:r>
    </w:p>
    <w:p w14:paraId="4785C822" w14:textId="77777777" w:rsidR="00DC6F3B" w:rsidRPr="00DC6F3B" w:rsidRDefault="00DC6F3B"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 xml:space="preserve">L’importo a base di gara è </w:t>
      </w:r>
      <w:r w:rsidRPr="00DC6F3B">
        <w:rPr>
          <w:rFonts w:asciiTheme="minorHAnsi" w:eastAsia="Times New Roman" w:hAnsiTheme="minorHAnsi" w:cstheme="minorHAnsi"/>
          <w:b/>
          <w:sz w:val="24"/>
          <w:szCs w:val="24"/>
        </w:rPr>
        <w:t>al netto di oneri previdenziali e assistenziali e IVA</w:t>
      </w:r>
      <w:r w:rsidRPr="00DC6F3B">
        <w:rPr>
          <w:rFonts w:asciiTheme="minorHAnsi" w:eastAsia="Times New Roman" w:hAnsiTheme="minorHAnsi" w:cstheme="minorHAnsi"/>
          <w:sz w:val="24"/>
          <w:szCs w:val="24"/>
        </w:rPr>
        <w:t>.</w:t>
      </w:r>
    </w:p>
    <w:p w14:paraId="725B8C1A" w14:textId="77777777" w:rsidR="00DC6F3B" w:rsidRPr="00DC6F3B" w:rsidRDefault="00DC6F3B"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L’importo a base di gara è stato calcolato ai sensi dell’allegato I.13 al Codice "</w:t>
      </w:r>
      <w:r w:rsidRPr="00DC6F3B">
        <w:rPr>
          <w:rFonts w:asciiTheme="minorHAnsi" w:eastAsia="Times New Roman" w:hAnsiTheme="minorHAnsi" w:cstheme="minorHAnsi"/>
          <w:i/>
          <w:sz w:val="24"/>
          <w:szCs w:val="24"/>
        </w:rPr>
        <w:t>Determinazione dei parametri per la progettazione</w:t>
      </w:r>
      <w:r w:rsidRPr="00DC6F3B">
        <w:rPr>
          <w:rFonts w:asciiTheme="minorHAnsi" w:eastAsia="Times New Roman" w:hAnsiTheme="minorHAnsi" w:cstheme="minorHAnsi"/>
          <w:sz w:val="24"/>
          <w:szCs w:val="24"/>
        </w:rPr>
        <w:t>" e del d.m. 17.06.2016, come da schema di determinazione dei corrispettivi.</w:t>
      </w:r>
    </w:p>
    <w:p w14:paraId="3D1AB3C9" w14:textId="77777777" w:rsidR="00DC6F3B" w:rsidRPr="00DC6F3B" w:rsidRDefault="00DC6F3B" w:rsidP="00BD1359">
      <w:pPr>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Nel corrispettivo del servizio resta compreso anche l’onorario per l’attività necessaria alla predisposizione degli elaborati connessi all’ottenimento di tutti i pareri, nulla osta e autorizzazioni della bisogna.</w:t>
      </w:r>
    </w:p>
    <w:p w14:paraId="4470070D" w14:textId="77777777" w:rsidR="00DC6F3B" w:rsidRPr="00DC6F3B" w:rsidRDefault="00DC6F3B" w:rsidP="00BD1359">
      <w:pPr>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18CB602E" w14:textId="77777777" w:rsidR="00DC6F3B" w:rsidRPr="00DC6F3B" w:rsidRDefault="00DC6F3B" w:rsidP="00BD1359">
      <w:pPr>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In considerazione della natura intellettuale del servizio, non ricorrono rischi di interferenze e, pertanto, non sussiste l’obbligo di redazione del DUVRI, ai sensi dell’art. 26, comma 3-bis, del d.lgs. n. 81/2008.</w:t>
      </w:r>
    </w:p>
    <w:p w14:paraId="4D35921D" w14:textId="77777777" w:rsidR="00DC6F3B" w:rsidRPr="00DC6F3B" w:rsidRDefault="00DC6F3B" w:rsidP="00BD1359">
      <w:pPr>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La prestazione principale è quella relativa a…………….[</w:t>
      </w:r>
      <w:r w:rsidRPr="00DC6F3B">
        <w:rPr>
          <w:rFonts w:asciiTheme="minorHAnsi" w:eastAsia="Times New Roman" w:hAnsiTheme="minorHAnsi" w:cstheme="minorHAnsi"/>
          <w:i/>
          <w:sz w:val="24"/>
          <w:szCs w:val="24"/>
        </w:rPr>
        <w:t>la stazione appaltante indica la categoria e ID</w:t>
      </w:r>
      <w:r w:rsidRPr="00DC6F3B">
        <w:rPr>
          <w:rFonts w:asciiTheme="minorHAnsi" w:eastAsia="Times New Roman" w:hAnsiTheme="minorHAnsi" w:cstheme="minorHAnsi"/>
          <w:sz w:val="24"/>
          <w:szCs w:val="24"/>
        </w:rPr>
        <w:t>].</w:t>
      </w:r>
    </w:p>
    <w:p w14:paraId="1B332E5D" w14:textId="77777777" w:rsidR="00DC6F3B" w:rsidRPr="00DC6F3B" w:rsidRDefault="00DC6F3B" w:rsidP="00BD1359">
      <w:pPr>
        <w:spacing w:line="276" w:lineRule="auto"/>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 xml:space="preserve">Si riporta nelle successive tabelle, l’elenco dettagliato delle prestazioni e dei relativi corrispettivi da compilare come segue: </w:t>
      </w:r>
    </w:p>
    <w:p w14:paraId="158678BC" w14:textId="467E16FD" w:rsidR="00DC6F3B" w:rsidRPr="00DC6F3B" w:rsidRDefault="00DC6F3B" w:rsidP="00BD1359">
      <w:pPr>
        <w:numPr>
          <w:ilvl w:val="0"/>
          <w:numId w:val="6"/>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 xml:space="preserve">Incarico di </w:t>
      </w:r>
      <w:r w:rsidRPr="00DC6F3B">
        <w:rPr>
          <w:rFonts w:asciiTheme="minorHAnsi" w:eastAsia="Times New Roman" w:hAnsiTheme="minorHAnsi" w:cstheme="minorHAnsi"/>
          <w:i/>
          <w:sz w:val="24"/>
          <w:szCs w:val="24"/>
        </w:rPr>
        <w:t>……</w:t>
      </w:r>
      <w:r w:rsidRPr="00DC6F3B">
        <w:rPr>
          <w:rFonts w:asciiTheme="minorHAnsi" w:eastAsia="Times New Roman" w:hAnsiTheme="minorHAnsi" w:cstheme="minorHAnsi"/>
          <w:b/>
          <w:i/>
          <w:sz w:val="24"/>
          <w:szCs w:val="24"/>
        </w:rPr>
        <w:t xml:space="preserve"> </w:t>
      </w:r>
      <w:r w:rsidRPr="00DC6F3B">
        <w:rPr>
          <w:rFonts w:asciiTheme="minorHAnsi" w:eastAsia="Times New Roman" w:hAnsiTheme="minorHAnsi" w:cstheme="minorHAnsi"/>
          <w:i/>
          <w:sz w:val="24"/>
          <w:szCs w:val="24"/>
        </w:rPr>
        <w:t xml:space="preserve">[ad es. progettazione] – inserire tabella categorie e ID opere – grado di </w:t>
      </w:r>
      <w:r w:rsidRPr="00DC6F3B">
        <w:rPr>
          <w:rFonts w:asciiTheme="minorHAnsi" w:eastAsia="Times New Roman" w:hAnsiTheme="minorHAnsi" w:cstheme="minorHAnsi"/>
          <w:i/>
          <w:sz w:val="24"/>
          <w:szCs w:val="24"/>
        </w:rPr>
        <w:lastRenderedPageBreak/>
        <w:t xml:space="preserve">complessità – importo delle opere – specificità della prestazione – importo corrispettivo e spese ed oneri </w:t>
      </w:r>
    </w:p>
    <w:p w14:paraId="62D27AB1" w14:textId="77777777" w:rsidR="00DC6F3B" w:rsidRPr="00DC6F3B" w:rsidRDefault="00DC6F3B" w:rsidP="00BD1359">
      <w:pPr>
        <w:numPr>
          <w:ilvl w:val="0"/>
          <w:numId w:val="6"/>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i/>
          <w:sz w:val="24"/>
          <w:szCs w:val="24"/>
        </w:rPr>
        <w:t>Riportare per ogni incarico [ad es. coordinamento sicurezza in fase di progettazione]</w:t>
      </w:r>
    </w:p>
    <w:p w14:paraId="57910251" w14:textId="77777777" w:rsidR="00DC6F3B" w:rsidRDefault="00DC6F3B" w:rsidP="00BD1359">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6738DBB5" w14:textId="56F5E712" w:rsidR="00A91201" w:rsidRPr="00AF38A8" w:rsidRDefault="00A91201" w:rsidP="00BD1359">
      <w:pPr>
        <w:spacing w:line="276" w:lineRule="auto"/>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Tabella n. 5 –Categorie, ID e tariffe</w:t>
      </w:r>
    </w:p>
    <w:p w14:paraId="0B519E7A" w14:textId="54CBFBF6" w:rsidR="00A91201" w:rsidRDefault="00A91201" w:rsidP="00BD1359">
      <w:pPr>
        <w:spacing w:line="276" w:lineRule="auto"/>
        <w:rPr>
          <w:rFonts w:asciiTheme="minorHAnsi" w:eastAsia="Times New Roman" w:hAnsiTheme="minorHAnsi" w:cstheme="minorHAnsi"/>
          <w:i/>
          <w:sz w:val="24"/>
          <w:szCs w:val="24"/>
        </w:rPr>
      </w:pPr>
      <w:r w:rsidRPr="00AF38A8">
        <w:rPr>
          <w:rFonts w:asciiTheme="minorHAnsi" w:eastAsia="Times New Roman" w:hAnsiTheme="minorHAnsi" w:cstheme="minorHAnsi"/>
          <w:b/>
          <w:i/>
          <w:sz w:val="24"/>
          <w:szCs w:val="24"/>
        </w:rPr>
        <w:t>Incarico di</w:t>
      </w:r>
      <w:r w:rsidRPr="00AF38A8">
        <w:rPr>
          <w:rFonts w:asciiTheme="minorHAnsi" w:eastAsia="Times New Roman" w:hAnsiTheme="minorHAnsi" w:cstheme="minorHAnsi"/>
          <w:i/>
          <w:sz w:val="24"/>
          <w:szCs w:val="24"/>
        </w:rPr>
        <w:t>…..(ad es. progettazione)</w:t>
      </w: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75"/>
        <w:gridCol w:w="1418"/>
        <w:gridCol w:w="1417"/>
        <w:gridCol w:w="1134"/>
        <w:gridCol w:w="1271"/>
        <w:gridCol w:w="1276"/>
        <w:gridCol w:w="1276"/>
      </w:tblGrid>
      <w:tr w:rsidR="00DC6F3B" w:rsidRPr="00AF38A8" w14:paraId="24E32EAA" w14:textId="77777777" w:rsidTr="00AB0DC4">
        <w:trPr>
          <w:trHeight w:val="340"/>
          <w:jc w:val="center"/>
        </w:trPr>
        <w:tc>
          <w:tcPr>
            <w:tcW w:w="1555" w:type="dxa"/>
            <w:vMerge w:val="restart"/>
            <w:shd w:val="clear" w:color="auto" w:fill="E4E4E4"/>
          </w:tcPr>
          <w:p w14:paraId="784AEE0C"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6D9B3479"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CATEGORIE D’OPERA</w:t>
            </w:r>
          </w:p>
        </w:tc>
        <w:tc>
          <w:tcPr>
            <w:tcW w:w="2693" w:type="dxa"/>
            <w:gridSpan w:val="2"/>
            <w:shd w:val="clear" w:color="auto" w:fill="E4E4E4"/>
          </w:tcPr>
          <w:p w14:paraId="7638F85F"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ID. OPERE</w:t>
            </w:r>
          </w:p>
        </w:tc>
        <w:tc>
          <w:tcPr>
            <w:tcW w:w="1417" w:type="dxa"/>
            <w:vMerge w:val="restart"/>
            <w:shd w:val="clear" w:color="auto" w:fill="E4E4E4"/>
          </w:tcPr>
          <w:p w14:paraId="029D3C71"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Grado Complessità </w:t>
            </w:r>
          </w:p>
          <w:p w14:paraId="65246C20"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&lt;</w:t>
            </w:r>
            <w:r w:rsidRPr="00AF38A8">
              <w:rPr>
                <w:rFonts w:asciiTheme="minorHAnsi" w:eastAsia="Times New Roman" w:hAnsiTheme="minorHAnsi" w:cstheme="minorHAnsi"/>
                <w:b/>
                <w:szCs w:val="24"/>
              </w:rPr>
              <w:t>G</w:t>
            </w:r>
            <w:r w:rsidRPr="00AF38A8">
              <w:rPr>
                <w:rFonts w:asciiTheme="minorHAnsi" w:eastAsia="Times New Roman" w:hAnsiTheme="minorHAnsi" w:cstheme="minorHAnsi"/>
                <w:szCs w:val="24"/>
              </w:rPr>
              <w:t>&gt;&gt;</w:t>
            </w:r>
          </w:p>
        </w:tc>
        <w:tc>
          <w:tcPr>
            <w:tcW w:w="1134" w:type="dxa"/>
            <w:vMerge w:val="restart"/>
            <w:shd w:val="clear" w:color="auto" w:fill="E4E4E4"/>
          </w:tcPr>
          <w:p w14:paraId="415506DB"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Importo </w:t>
            </w:r>
          </w:p>
          <w:p w14:paraId="75F4DA5E"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delle opere</w:t>
            </w:r>
          </w:p>
        </w:tc>
        <w:tc>
          <w:tcPr>
            <w:tcW w:w="1271" w:type="dxa"/>
            <w:vMerge w:val="restart"/>
            <w:shd w:val="clear" w:color="auto" w:fill="E4E4E4"/>
          </w:tcPr>
          <w:p w14:paraId="4D6A4E0B"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Specificità della prestazione</w:t>
            </w:r>
          </w:p>
        </w:tc>
        <w:tc>
          <w:tcPr>
            <w:tcW w:w="1276" w:type="dxa"/>
            <w:vMerge w:val="restart"/>
            <w:shd w:val="clear" w:color="auto" w:fill="E4E4E4"/>
          </w:tcPr>
          <w:p w14:paraId="0240EC9E"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Importo</w:t>
            </w:r>
          </w:p>
        </w:tc>
        <w:tc>
          <w:tcPr>
            <w:tcW w:w="1276" w:type="dxa"/>
            <w:vMerge w:val="restart"/>
            <w:shd w:val="clear" w:color="auto" w:fill="E4E4E4"/>
          </w:tcPr>
          <w:p w14:paraId="0FC21D1A"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Spese e oneri</w:t>
            </w:r>
          </w:p>
        </w:tc>
      </w:tr>
      <w:tr w:rsidR="00DC6F3B" w:rsidRPr="00AF38A8" w14:paraId="06AB61AB" w14:textId="77777777" w:rsidTr="00AB0DC4">
        <w:trPr>
          <w:trHeight w:val="340"/>
          <w:jc w:val="center"/>
        </w:trPr>
        <w:tc>
          <w:tcPr>
            <w:tcW w:w="1555" w:type="dxa"/>
            <w:vMerge/>
            <w:shd w:val="clear" w:color="auto" w:fill="E4E4E4"/>
          </w:tcPr>
          <w:p w14:paraId="3A81ED6D"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shd w:val="clear" w:color="auto" w:fill="E4E4E4"/>
          </w:tcPr>
          <w:p w14:paraId="257E34E2"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Codice</w:t>
            </w:r>
          </w:p>
        </w:tc>
        <w:tc>
          <w:tcPr>
            <w:tcW w:w="1418" w:type="dxa"/>
            <w:shd w:val="clear" w:color="auto" w:fill="E4E4E4"/>
          </w:tcPr>
          <w:p w14:paraId="75BF841C"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Descrizione</w:t>
            </w:r>
          </w:p>
        </w:tc>
        <w:tc>
          <w:tcPr>
            <w:tcW w:w="1417" w:type="dxa"/>
            <w:vMerge/>
            <w:shd w:val="clear" w:color="auto" w:fill="E4E4E4"/>
          </w:tcPr>
          <w:p w14:paraId="4F3C2759"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134" w:type="dxa"/>
            <w:vMerge/>
            <w:shd w:val="clear" w:color="auto" w:fill="E4E4E4"/>
          </w:tcPr>
          <w:p w14:paraId="51BE60DD"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1" w:type="dxa"/>
            <w:vMerge/>
            <w:shd w:val="clear" w:color="auto" w:fill="E4E4E4"/>
          </w:tcPr>
          <w:p w14:paraId="0F96EED5"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6" w:type="dxa"/>
            <w:vMerge/>
            <w:shd w:val="clear" w:color="auto" w:fill="E4E4E4"/>
          </w:tcPr>
          <w:p w14:paraId="2C550E1D"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6" w:type="dxa"/>
            <w:vMerge/>
            <w:shd w:val="clear" w:color="auto" w:fill="E4E4E4"/>
          </w:tcPr>
          <w:p w14:paraId="560B32DE"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r>
      <w:tr w:rsidR="00DC6F3B" w:rsidRPr="00AF38A8" w14:paraId="16396B37" w14:textId="77777777" w:rsidTr="00AB0DC4">
        <w:trPr>
          <w:trHeight w:val="1034"/>
          <w:jc w:val="center"/>
        </w:trPr>
        <w:tc>
          <w:tcPr>
            <w:tcW w:w="1555" w:type="dxa"/>
            <w:vMerge w:val="restart"/>
            <w:vAlign w:val="center"/>
          </w:tcPr>
          <w:p w14:paraId="77CE89A0"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Ad es. EDILIZIA</w:t>
            </w:r>
          </w:p>
          <w:p w14:paraId="4982BB48"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3757923F"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val="restart"/>
            <w:vAlign w:val="center"/>
          </w:tcPr>
          <w:p w14:paraId="3592539A"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w:t>
            </w:r>
          </w:p>
          <w:p w14:paraId="499E172F"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418" w:type="dxa"/>
            <w:vMerge w:val="restart"/>
            <w:vAlign w:val="center"/>
          </w:tcPr>
          <w:p w14:paraId="50EC308D"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i/>
                <w:szCs w:val="24"/>
              </w:rPr>
            </w:pPr>
            <w:r w:rsidRPr="00AF38A8">
              <w:rPr>
                <w:rFonts w:asciiTheme="minorHAnsi" w:eastAsia="Times New Roman" w:hAnsiTheme="minorHAnsi" w:cstheme="minorHAnsi"/>
                <w:szCs w:val="24"/>
              </w:rPr>
              <w:t>[…]</w:t>
            </w:r>
          </w:p>
          <w:p w14:paraId="100F8032"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i/>
                <w:szCs w:val="24"/>
              </w:rPr>
            </w:pPr>
          </w:p>
        </w:tc>
        <w:tc>
          <w:tcPr>
            <w:tcW w:w="1417" w:type="dxa"/>
            <w:vMerge w:val="restart"/>
            <w:vAlign w:val="center"/>
          </w:tcPr>
          <w:p w14:paraId="3DB5B204" w14:textId="77777777" w:rsidR="00DC6F3B" w:rsidRPr="00AF38A8" w:rsidRDefault="00DC6F3B"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7E7B119A" w14:textId="77777777" w:rsidR="00DC6F3B" w:rsidRPr="00AF38A8" w:rsidRDefault="00DC6F3B" w:rsidP="00BD1359">
            <w:pPr>
              <w:spacing w:line="276" w:lineRule="auto"/>
              <w:rPr>
                <w:rFonts w:asciiTheme="minorHAnsi" w:hAnsiTheme="minorHAnsi" w:cstheme="minorHAnsi"/>
                <w:szCs w:val="24"/>
              </w:rPr>
            </w:pPr>
          </w:p>
        </w:tc>
        <w:tc>
          <w:tcPr>
            <w:tcW w:w="1134" w:type="dxa"/>
            <w:vMerge w:val="restart"/>
            <w:vAlign w:val="center"/>
          </w:tcPr>
          <w:p w14:paraId="525F2C18" w14:textId="77777777" w:rsidR="00DC6F3B" w:rsidRPr="00AF38A8" w:rsidRDefault="00DC6F3B"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282B64F8" w14:textId="77777777" w:rsidR="00DC6F3B" w:rsidRPr="00AF38A8" w:rsidRDefault="00DC6F3B" w:rsidP="00BD1359">
            <w:pPr>
              <w:spacing w:line="276" w:lineRule="auto"/>
              <w:rPr>
                <w:rFonts w:asciiTheme="minorHAnsi" w:hAnsiTheme="minorHAnsi" w:cstheme="minorHAnsi"/>
                <w:szCs w:val="24"/>
              </w:rPr>
            </w:pPr>
          </w:p>
        </w:tc>
        <w:tc>
          <w:tcPr>
            <w:tcW w:w="1271" w:type="dxa"/>
            <w:vAlign w:val="center"/>
          </w:tcPr>
          <w:p w14:paraId="23CD462D" w14:textId="77777777" w:rsidR="00DC6F3B" w:rsidRPr="00AF38A8" w:rsidRDefault="00DC6F3B"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6" w:type="dxa"/>
          </w:tcPr>
          <w:p w14:paraId="1509FC26" w14:textId="77777777" w:rsidR="00DC6F3B" w:rsidRPr="00AF38A8" w:rsidRDefault="00DC6F3B" w:rsidP="00BD1359">
            <w:pPr>
              <w:spacing w:line="276" w:lineRule="auto"/>
              <w:jc w:val="center"/>
              <w:rPr>
                <w:rFonts w:asciiTheme="minorHAnsi" w:eastAsia="Times New Roman" w:hAnsiTheme="minorHAnsi" w:cstheme="minorHAnsi"/>
                <w:szCs w:val="24"/>
              </w:rPr>
            </w:pPr>
          </w:p>
        </w:tc>
        <w:tc>
          <w:tcPr>
            <w:tcW w:w="1276" w:type="dxa"/>
          </w:tcPr>
          <w:p w14:paraId="3B1B0271" w14:textId="77777777" w:rsidR="00DC6F3B" w:rsidRPr="00AF38A8" w:rsidRDefault="00DC6F3B" w:rsidP="00BD1359">
            <w:pPr>
              <w:spacing w:line="276" w:lineRule="auto"/>
              <w:jc w:val="center"/>
              <w:rPr>
                <w:rFonts w:asciiTheme="minorHAnsi" w:eastAsia="Times New Roman" w:hAnsiTheme="minorHAnsi" w:cstheme="minorHAnsi"/>
                <w:szCs w:val="24"/>
              </w:rPr>
            </w:pPr>
          </w:p>
        </w:tc>
      </w:tr>
      <w:tr w:rsidR="00DC6F3B" w:rsidRPr="00AF38A8" w14:paraId="796637C5" w14:textId="77777777" w:rsidTr="00AB0DC4">
        <w:trPr>
          <w:trHeight w:val="1449"/>
          <w:jc w:val="center"/>
        </w:trPr>
        <w:tc>
          <w:tcPr>
            <w:tcW w:w="1555" w:type="dxa"/>
            <w:vMerge/>
            <w:vAlign w:val="center"/>
          </w:tcPr>
          <w:p w14:paraId="33D2DF5E"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vAlign w:val="center"/>
          </w:tcPr>
          <w:p w14:paraId="3BCFF071"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418" w:type="dxa"/>
            <w:vMerge/>
            <w:vAlign w:val="center"/>
          </w:tcPr>
          <w:p w14:paraId="3347E9FB"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417" w:type="dxa"/>
            <w:vMerge/>
            <w:vAlign w:val="center"/>
          </w:tcPr>
          <w:p w14:paraId="68E80E3C"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134" w:type="dxa"/>
            <w:vMerge/>
            <w:vAlign w:val="center"/>
          </w:tcPr>
          <w:p w14:paraId="2976FBA6"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1" w:type="dxa"/>
            <w:vAlign w:val="center"/>
          </w:tcPr>
          <w:p w14:paraId="54A0DFB4" w14:textId="77777777" w:rsidR="00DC6F3B" w:rsidRPr="00AF38A8" w:rsidRDefault="00DC6F3B"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6" w:type="dxa"/>
          </w:tcPr>
          <w:p w14:paraId="3AB2D269" w14:textId="77777777" w:rsidR="00DC6F3B" w:rsidRPr="00AF38A8" w:rsidRDefault="00DC6F3B" w:rsidP="00BD1359">
            <w:pPr>
              <w:spacing w:line="276" w:lineRule="auto"/>
              <w:jc w:val="center"/>
              <w:rPr>
                <w:rFonts w:asciiTheme="minorHAnsi" w:eastAsia="Times New Roman" w:hAnsiTheme="minorHAnsi" w:cstheme="minorHAnsi"/>
                <w:szCs w:val="24"/>
              </w:rPr>
            </w:pPr>
          </w:p>
        </w:tc>
        <w:tc>
          <w:tcPr>
            <w:tcW w:w="1276" w:type="dxa"/>
          </w:tcPr>
          <w:p w14:paraId="793ECDB3" w14:textId="77777777" w:rsidR="00DC6F3B" w:rsidRPr="00AF38A8" w:rsidRDefault="00DC6F3B" w:rsidP="00BD1359">
            <w:pPr>
              <w:spacing w:line="276" w:lineRule="auto"/>
              <w:jc w:val="center"/>
              <w:rPr>
                <w:rFonts w:asciiTheme="minorHAnsi" w:eastAsia="Times New Roman" w:hAnsiTheme="minorHAnsi" w:cstheme="minorHAnsi"/>
                <w:szCs w:val="24"/>
              </w:rPr>
            </w:pPr>
          </w:p>
        </w:tc>
      </w:tr>
      <w:tr w:rsidR="00DC6F3B" w:rsidRPr="00AF38A8" w14:paraId="19B3DD06" w14:textId="77777777" w:rsidTr="00AB0DC4">
        <w:trPr>
          <w:trHeight w:val="629"/>
          <w:jc w:val="center"/>
        </w:trPr>
        <w:tc>
          <w:tcPr>
            <w:tcW w:w="8070" w:type="dxa"/>
            <w:gridSpan w:val="6"/>
          </w:tcPr>
          <w:p w14:paraId="6176888F"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b/>
                <w:i/>
                <w:szCs w:val="24"/>
              </w:rPr>
            </w:pPr>
          </w:p>
          <w:p w14:paraId="1B61C9DE"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SOMMA</w:t>
            </w:r>
          </w:p>
          <w:p w14:paraId="1189FD0D" w14:textId="77777777" w:rsidR="00DC6F3B" w:rsidRPr="00AF38A8" w:rsidRDefault="00DC6F3B" w:rsidP="00BD1359">
            <w:pPr>
              <w:spacing w:line="276" w:lineRule="auto"/>
              <w:rPr>
                <w:rFonts w:asciiTheme="minorHAnsi" w:hAnsiTheme="minorHAnsi" w:cstheme="minorHAnsi"/>
                <w:szCs w:val="24"/>
              </w:rPr>
            </w:pPr>
          </w:p>
        </w:tc>
        <w:tc>
          <w:tcPr>
            <w:tcW w:w="1276" w:type="dxa"/>
          </w:tcPr>
          <w:p w14:paraId="75BDA66C" w14:textId="77777777" w:rsidR="00DC6F3B" w:rsidRPr="00AF38A8" w:rsidRDefault="00DC6F3B" w:rsidP="00BD1359">
            <w:pPr>
              <w:spacing w:line="276" w:lineRule="auto"/>
              <w:jc w:val="center"/>
              <w:rPr>
                <w:rFonts w:asciiTheme="minorHAnsi" w:eastAsia="Times New Roman" w:hAnsiTheme="minorHAnsi" w:cstheme="minorHAnsi"/>
                <w:szCs w:val="24"/>
              </w:rPr>
            </w:pPr>
          </w:p>
        </w:tc>
        <w:tc>
          <w:tcPr>
            <w:tcW w:w="1276" w:type="dxa"/>
          </w:tcPr>
          <w:p w14:paraId="07A6811D" w14:textId="77777777" w:rsidR="00DC6F3B" w:rsidRPr="00AF38A8" w:rsidRDefault="00DC6F3B" w:rsidP="00BD1359">
            <w:pPr>
              <w:spacing w:line="276" w:lineRule="auto"/>
              <w:jc w:val="center"/>
              <w:rPr>
                <w:rFonts w:asciiTheme="minorHAnsi" w:eastAsia="Times New Roman" w:hAnsiTheme="minorHAnsi" w:cstheme="minorHAnsi"/>
                <w:szCs w:val="24"/>
              </w:rPr>
            </w:pPr>
          </w:p>
        </w:tc>
      </w:tr>
      <w:tr w:rsidR="00DC6F3B" w:rsidRPr="00AF38A8" w14:paraId="06820038" w14:textId="77777777" w:rsidTr="00AB0DC4">
        <w:trPr>
          <w:trHeight w:val="625"/>
          <w:jc w:val="center"/>
        </w:trPr>
        <w:tc>
          <w:tcPr>
            <w:tcW w:w="8070" w:type="dxa"/>
            <w:gridSpan w:val="6"/>
          </w:tcPr>
          <w:p w14:paraId="2432FE75"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r w:rsidRPr="00AF38A8">
              <w:rPr>
                <w:rFonts w:asciiTheme="minorHAnsi" w:eastAsia="Times New Roman" w:hAnsiTheme="minorHAnsi" w:cstheme="minorHAnsi"/>
                <w:b/>
                <w:i/>
                <w:szCs w:val="24"/>
              </w:rPr>
              <w:t>Totale comprensivo di spese e oneri</w:t>
            </w:r>
          </w:p>
        </w:tc>
        <w:tc>
          <w:tcPr>
            <w:tcW w:w="2552" w:type="dxa"/>
            <w:gridSpan w:val="2"/>
          </w:tcPr>
          <w:p w14:paraId="535888B9" w14:textId="77777777" w:rsidR="00DC6F3B" w:rsidRPr="00AF38A8" w:rsidRDefault="00DC6F3B" w:rsidP="00BD1359">
            <w:pPr>
              <w:spacing w:line="276" w:lineRule="auto"/>
              <w:jc w:val="center"/>
              <w:rPr>
                <w:rFonts w:asciiTheme="minorHAnsi" w:eastAsia="Times New Roman" w:hAnsiTheme="minorHAnsi" w:cstheme="minorHAnsi"/>
                <w:szCs w:val="24"/>
              </w:rPr>
            </w:pPr>
          </w:p>
        </w:tc>
      </w:tr>
    </w:tbl>
    <w:p w14:paraId="308DF63E" w14:textId="512C7540" w:rsidR="00DC6F3B" w:rsidRDefault="00DC6F3B" w:rsidP="00BD1359">
      <w:pPr>
        <w:spacing w:line="276" w:lineRule="auto"/>
        <w:rPr>
          <w:rFonts w:asciiTheme="minorHAnsi" w:eastAsia="Times New Roman" w:hAnsiTheme="minorHAnsi" w:cstheme="minorHAnsi"/>
          <w:b/>
          <w:i/>
          <w:sz w:val="24"/>
          <w:szCs w:val="24"/>
        </w:rPr>
      </w:pPr>
    </w:p>
    <w:p w14:paraId="3F609BEF" w14:textId="77777777" w:rsidR="00DC6F3B" w:rsidRPr="00AF38A8" w:rsidRDefault="00DC6F3B" w:rsidP="00BD1359">
      <w:pPr>
        <w:spacing w:line="276" w:lineRule="auto"/>
        <w:rPr>
          <w:rFonts w:asciiTheme="minorHAnsi" w:eastAsia="Times New Roman" w:hAnsiTheme="minorHAnsi" w:cstheme="minorHAnsi"/>
          <w:b/>
          <w:i/>
          <w:sz w:val="24"/>
          <w:szCs w:val="24"/>
        </w:rPr>
      </w:pPr>
    </w:p>
    <w:p w14:paraId="68A44D76" w14:textId="52CF0E10" w:rsidR="00A91201" w:rsidRDefault="00A91201" w:rsidP="00BD1359">
      <w:pPr>
        <w:spacing w:line="276" w:lineRule="auto"/>
        <w:rPr>
          <w:rFonts w:asciiTheme="minorHAnsi" w:eastAsia="Times New Roman" w:hAnsiTheme="minorHAnsi" w:cstheme="minorHAnsi"/>
          <w:i/>
          <w:sz w:val="24"/>
          <w:szCs w:val="24"/>
        </w:rPr>
      </w:pPr>
      <w:r w:rsidRPr="00AF38A8">
        <w:rPr>
          <w:rFonts w:asciiTheme="minorHAnsi" w:eastAsia="Times New Roman" w:hAnsiTheme="minorHAnsi" w:cstheme="minorHAnsi"/>
          <w:b/>
          <w:i/>
          <w:sz w:val="24"/>
          <w:szCs w:val="24"/>
        </w:rPr>
        <w:t>Incarico di………</w:t>
      </w:r>
      <w:r w:rsidRPr="00AF38A8">
        <w:rPr>
          <w:rFonts w:asciiTheme="minorHAnsi" w:eastAsia="Times New Roman" w:hAnsiTheme="minorHAnsi" w:cstheme="minorHAnsi"/>
          <w:i/>
          <w:sz w:val="24"/>
          <w:szCs w:val="24"/>
        </w:rPr>
        <w:t>(ad es. coordinamento sicurezza in fase di progettazione)</w:t>
      </w:r>
    </w:p>
    <w:p w14:paraId="6C5B5FEA" w14:textId="087B87A0" w:rsidR="00DC6F3B" w:rsidRDefault="00DC6F3B" w:rsidP="00BD1359">
      <w:pPr>
        <w:spacing w:line="276" w:lineRule="auto"/>
        <w:rPr>
          <w:rFonts w:asciiTheme="minorHAnsi" w:eastAsia="Times New Roman" w:hAnsiTheme="minorHAnsi" w:cstheme="minorHAnsi"/>
          <w:b/>
          <w:i/>
          <w:sz w:val="24"/>
          <w:szCs w:val="24"/>
        </w:rPr>
      </w:pP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2"/>
        <w:gridCol w:w="1320"/>
        <w:gridCol w:w="1419"/>
        <w:gridCol w:w="1136"/>
        <w:gridCol w:w="850"/>
        <w:gridCol w:w="1275"/>
        <w:gridCol w:w="1275"/>
        <w:gridCol w:w="1275"/>
      </w:tblGrid>
      <w:tr w:rsidR="00DC6F3B" w:rsidRPr="00AF38A8" w14:paraId="5DA35B7F" w14:textId="77777777" w:rsidTr="00AB0DC4">
        <w:trPr>
          <w:trHeight w:val="340"/>
          <w:jc w:val="center"/>
        </w:trPr>
        <w:tc>
          <w:tcPr>
            <w:tcW w:w="2073" w:type="dxa"/>
            <w:vMerge w:val="restart"/>
            <w:shd w:val="clear" w:color="auto" w:fill="E4E4E4"/>
          </w:tcPr>
          <w:p w14:paraId="616CFFDE"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2DA0D160" w14:textId="77777777" w:rsidR="00DC6F3B" w:rsidRPr="00AF38A8" w:rsidRDefault="00DC6F3B" w:rsidP="00BD1359">
            <w:pPr>
              <w:pBdr>
                <w:top w:val="nil"/>
                <w:left w:val="nil"/>
                <w:bottom w:val="nil"/>
                <w:right w:val="nil"/>
                <w:between w:val="nil"/>
              </w:pBdr>
              <w:spacing w:line="276" w:lineRule="auto"/>
              <w:ind w:left="117"/>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CATEGORIE D’OPERA</w:t>
            </w:r>
          </w:p>
        </w:tc>
        <w:tc>
          <w:tcPr>
            <w:tcW w:w="2740" w:type="dxa"/>
            <w:gridSpan w:val="2"/>
            <w:shd w:val="clear" w:color="auto" w:fill="E4E4E4"/>
          </w:tcPr>
          <w:p w14:paraId="0D8D0EAB" w14:textId="77777777" w:rsidR="00DC6F3B" w:rsidRPr="00AF38A8" w:rsidRDefault="00DC6F3B" w:rsidP="00BD1359">
            <w:pPr>
              <w:pBdr>
                <w:top w:val="nil"/>
                <w:left w:val="nil"/>
                <w:bottom w:val="nil"/>
                <w:right w:val="nil"/>
                <w:between w:val="nil"/>
              </w:pBdr>
              <w:spacing w:before="67" w:line="276" w:lineRule="auto"/>
              <w:ind w:right="1765"/>
              <w:rPr>
                <w:rFonts w:asciiTheme="minorHAnsi" w:eastAsia="Times New Roman" w:hAnsiTheme="minorHAnsi" w:cstheme="minorHAnsi"/>
                <w:szCs w:val="24"/>
              </w:rPr>
            </w:pPr>
            <w:r w:rsidRPr="00AF38A8">
              <w:rPr>
                <w:rFonts w:asciiTheme="minorHAnsi" w:eastAsia="Times New Roman" w:hAnsiTheme="minorHAnsi" w:cstheme="minorHAnsi"/>
                <w:szCs w:val="24"/>
              </w:rPr>
              <w:t>ID. OPERE</w:t>
            </w:r>
          </w:p>
        </w:tc>
        <w:tc>
          <w:tcPr>
            <w:tcW w:w="1134" w:type="dxa"/>
            <w:vMerge w:val="restart"/>
            <w:shd w:val="clear" w:color="auto" w:fill="E4E4E4"/>
          </w:tcPr>
          <w:p w14:paraId="777871D6" w14:textId="77777777" w:rsidR="00DC6F3B" w:rsidRPr="00AF38A8" w:rsidRDefault="00DC6F3B" w:rsidP="00BD1359">
            <w:pPr>
              <w:pBdr>
                <w:top w:val="nil"/>
                <w:left w:val="nil"/>
                <w:bottom w:val="nil"/>
                <w:right w:val="nil"/>
                <w:between w:val="nil"/>
              </w:pBdr>
              <w:spacing w:before="35" w:line="276" w:lineRule="auto"/>
              <w:ind w:right="85"/>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Grado Complessità </w:t>
            </w:r>
          </w:p>
          <w:p w14:paraId="62B41607" w14:textId="77777777" w:rsidR="00DC6F3B" w:rsidRPr="00AF38A8" w:rsidRDefault="00DC6F3B" w:rsidP="00BD1359">
            <w:pPr>
              <w:pBdr>
                <w:top w:val="nil"/>
                <w:left w:val="nil"/>
                <w:bottom w:val="nil"/>
                <w:right w:val="nil"/>
                <w:between w:val="nil"/>
              </w:pBdr>
              <w:spacing w:before="35" w:line="276" w:lineRule="auto"/>
              <w:ind w:right="85"/>
              <w:rPr>
                <w:rFonts w:asciiTheme="minorHAnsi" w:eastAsia="Times New Roman" w:hAnsiTheme="minorHAnsi" w:cstheme="minorHAnsi"/>
                <w:szCs w:val="24"/>
              </w:rPr>
            </w:pPr>
            <w:r w:rsidRPr="00AF38A8">
              <w:rPr>
                <w:rFonts w:asciiTheme="minorHAnsi" w:eastAsia="Times New Roman" w:hAnsiTheme="minorHAnsi" w:cstheme="minorHAnsi"/>
                <w:szCs w:val="24"/>
              </w:rPr>
              <w:t>&lt;</w:t>
            </w:r>
            <w:r w:rsidRPr="00AF38A8">
              <w:rPr>
                <w:rFonts w:asciiTheme="minorHAnsi" w:eastAsia="Times New Roman" w:hAnsiTheme="minorHAnsi" w:cstheme="minorHAnsi"/>
                <w:b/>
                <w:szCs w:val="24"/>
              </w:rPr>
              <w:t>G</w:t>
            </w:r>
            <w:r w:rsidRPr="00AF38A8">
              <w:rPr>
                <w:rFonts w:asciiTheme="minorHAnsi" w:eastAsia="Times New Roman" w:hAnsiTheme="minorHAnsi" w:cstheme="minorHAnsi"/>
                <w:szCs w:val="24"/>
              </w:rPr>
              <w:t>&gt;&gt;</w:t>
            </w:r>
          </w:p>
        </w:tc>
        <w:tc>
          <w:tcPr>
            <w:tcW w:w="850" w:type="dxa"/>
            <w:vMerge w:val="restart"/>
            <w:shd w:val="clear" w:color="auto" w:fill="E4E4E4"/>
          </w:tcPr>
          <w:p w14:paraId="31BDEAFA"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Importo </w:t>
            </w:r>
          </w:p>
          <w:p w14:paraId="5DEC49E4"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delle opere</w:t>
            </w:r>
          </w:p>
        </w:tc>
        <w:tc>
          <w:tcPr>
            <w:tcW w:w="1275" w:type="dxa"/>
            <w:vMerge w:val="restart"/>
            <w:shd w:val="clear" w:color="auto" w:fill="E4E4E4"/>
          </w:tcPr>
          <w:p w14:paraId="4CDB9E32" w14:textId="77777777" w:rsidR="00DC6F3B" w:rsidRPr="00AF38A8" w:rsidRDefault="00DC6F3B" w:rsidP="00BD1359">
            <w:pPr>
              <w:pBdr>
                <w:top w:val="nil"/>
                <w:left w:val="nil"/>
                <w:bottom w:val="nil"/>
                <w:right w:val="nil"/>
                <w:between w:val="nil"/>
              </w:pBdr>
              <w:spacing w:before="35" w:line="276" w:lineRule="auto"/>
              <w:ind w:right="109"/>
              <w:rPr>
                <w:rFonts w:asciiTheme="minorHAnsi" w:eastAsia="Times New Roman" w:hAnsiTheme="minorHAnsi" w:cstheme="minorHAnsi"/>
                <w:szCs w:val="24"/>
              </w:rPr>
            </w:pPr>
            <w:r w:rsidRPr="00AF38A8">
              <w:rPr>
                <w:rFonts w:asciiTheme="minorHAnsi" w:eastAsia="Times New Roman" w:hAnsiTheme="minorHAnsi" w:cstheme="minorHAnsi"/>
                <w:szCs w:val="24"/>
              </w:rPr>
              <w:t>Specificità della prestazione</w:t>
            </w:r>
          </w:p>
        </w:tc>
        <w:tc>
          <w:tcPr>
            <w:tcW w:w="1275" w:type="dxa"/>
            <w:vMerge w:val="restart"/>
            <w:shd w:val="clear" w:color="auto" w:fill="E4E4E4"/>
          </w:tcPr>
          <w:p w14:paraId="2050D35C" w14:textId="77777777" w:rsidR="00DC6F3B" w:rsidRPr="00AF38A8" w:rsidRDefault="00DC6F3B" w:rsidP="00BD1359">
            <w:pPr>
              <w:pBdr>
                <w:top w:val="nil"/>
                <w:left w:val="nil"/>
                <w:bottom w:val="nil"/>
                <w:right w:val="nil"/>
                <w:between w:val="nil"/>
              </w:pBdr>
              <w:spacing w:before="35" w:line="276" w:lineRule="auto"/>
              <w:ind w:right="109"/>
              <w:rPr>
                <w:rFonts w:asciiTheme="minorHAnsi" w:eastAsia="Times New Roman" w:hAnsiTheme="minorHAnsi" w:cstheme="minorHAnsi"/>
                <w:szCs w:val="24"/>
              </w:rPr>
            </w:pPr>
            <w:r w:rsidRPr="00AF38A8">
              <w:rPr>
                <w:rFonts w:asciiTheme="minorHAnsi" w:eastAsia="Times New Roman" w:hAnsiTheme="minorHAnsi" w:cstheme="minorHAnsi"/>
                <w:szCs w:val="24"/>
              </w:rPr>
              <w:t>Importo</w:t>
            </w:r>
          </w:p>
        </w:tc>
        <w:tc>
          <w:tcPr>
            <w:tcW w:w="1275" w:type="dxa"/>
            <w:vMerge w:val="restart"/>
            <w:shd w:val="clear" w:color="auto" w:fill="E4E4E4"/>
          </w:tcPr>
          <w:p w14:paraId="57C9392D" w14:textId="77777777" w:rsidR="00DC6F3B" w:rsidRPr="00AF38A8" w:rsidRDefault="00DC6F3B" w:rsidP="00BD1359">
            <w:pPr>
              <w:pBdr>
                <w:top w:val="nil"/>
                <w:left w:val="nil"/>
                <w:bottom w:val="nil"/>
                <w:right w:val="nil"/>
                <w:between w:val="nil"/>
              </w:pBdr>
              <w:spacing w:before="35" w:line="276" w:lineRule="auto"/>
              <w:ind w:right="109"/>
              <w:rPr>
                <w:rFonts w:asciiTheme="minorHAnsi" w:eastAsia="Times New Roman" w:hAnsiTheme="minorHAnsi" w:cstheme="minorHAnsi"/>
                <w:szCs w:val="24"/>
              </w:rPr>
            </w:pPr>
            <w:r w:rsidRPr="00AF38A8">
              <w:rPr>
                <w:rFonts w:asciiTheme="minorHAnsi" w:eastAsia="Times New Roman" w:hAnsiTheme="minorHAnsi" w:cstheme="minorHAnsi"/>
                <w:szCs w:val="24"/>
              </w:rPr>
              <w:t>Spese e oneri</w:t>
            </w:r>
          </w:p>
        </w:tc>
      </w:tr>
      <w:tr w:rsidR="00DC6F3B" w:rsidRPr="00AF38A8" w14:paraId="06096420" w14:textId="77777777" w:rsidTr="00AB0DC4">
        <w:trPr>
          <w:trHeight w:val="340"/>
          <w:jc w:val="center"/>
        </w:trPr>
        <w:tc>
          <w:tcPr>
            <w:tcW w:w="2073" w:type="dxa"/>
            <w:vMerge/>
            <w:shd w:val="clear" w:color="auto" w:fill="E4E4E4"/>
          </w:tcPr>
          <w:p w14:paraId="5EFA0368"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321" w:type="dxa"/>
            <w:shd w:val="clear" w:color="auto" w:fill="E4E4E4"/>
          </w:tcPr>
          <w:p w14:paraId="386198AE" w14:textId="77777777" w:rsidR="00DC6F3B" w:rsidRPr="00AF38A8" w:rsidRDefault="00DC6F3B" w:rsidP="00BD1359">
            <w:pPr>
              <w:pBdr>
                <w:top w:val="nil"/>
                <w:left w:val="nil"/>
                <w:bottom w:val="nil"/>
                <w:right w:val="nil"/>
                <w:between w:val="nil"/>
              </w:pBdr>
              <w:spacing w:line="276" w:lineRule="auto"/>
              <w:ind w:right="138"/>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Codice</w:t>
            </w:r>
          </w:p>
        </w:tc>
        <w:tc>
          <w:tcPr>
            <w:tcW w:w="1419" w:type="dxa"/>
            <w:shd w:val="clear" w:color="auto" w:fill="E4E4E4"/>
          </w:tcPr>
          <w:p w14:paraId="132B1445" w14:textId="77777777" w:rsidR="00DC6F3B" w:rsidRPr="00AF38A8" w:rsidRDefault="00DC6F3B" w:rsidP="00BD1359">
            <w:pPr>
              <w:pBdr>
                <w:top w:val="nil"/>
                <w:left w:val="nil"/>
                <w:bottom w:val="nil"/>
                <w:right w:val="nil"/>
                <w:between w:val="nil"/>
              </w:pBdr>
              <w:spacing w:line="276" w:lineRule="auto"/>
              <w:ind w:right="314"/>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Descrizione</w:t>
            </w:r>
          </w:p>
        </w:tc>
        <w:tc>
          <w:tcPr>
            <w:tcW w:w="1134" w:type="dxa"/>
            <w:vMerge/>
            <w:shd w:val="clear" w:color="auto" w:fill="E4E4E4"/>
          </w:tcPr>
          <w:p w14:paraId="76B5525C"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850" w:type="dxa"/>
            <w:vMerge/>
            <w:shd w:val="clear" w:color="auto" w:fill="E4E4E4"/>
          </w:tcPr>
          <w:p w14:paraId="25259593"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shd w:val="clear" w:color="auto" w:fill="E4E4E4"/>
          </w:tcPr>
          <w:p w14:paraId="2DE7EF83"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shd w:val="clear" w:color="auto" w:fill="E4E4E4"/>
          </w:tcPr>
          <w:p w14:paraId="35DC3687"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shd w:val="clear" w:color="auto" w:fill="E4E4E4"/>
          </w:tcPr>
          <w:p w14:paraId="5C24ACE3"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r>
      <w:tr w:rsidR="00DC6F3B" w:rsidRPr="00AF38A8" w14:paraId="34E51ED1" w14:textId="77777777" w:rsidTr="00AB0DC4">
        <w:trPr>
          <w:trHeight w:val="1034"/>
          <w:jc w:val="center"/>
        </w:trPr>
        <w:tc>
          <w:tcPr>
            <w:tcW w:w="2073" w:type="dxa"/>
            <w:vMerge w:val="restart"/>
            <w:vAlign w:val="center"/>
          </w:tcPr>
          <w:p w14:paraId="3152C311" w14:textId="77777777" w:rsidR="00DC6F3B" w:rsidRPr="00AF38A8" w:rsidRDefault="00DC6F3B" w:rsidP="00BD1359">
            <w:pPr>
              <w:pBdr>
                <w:top w:val="nil"/>
                <w:left w:val="nil"/>
                <w:bottom w:val="nil"/>
                <w:right w:val="nil"/>
                <w:between w:val="nil"/>
              </w:pBdr>
              <w:spacing w:before="1" w:line="276" w:lineRule="auto"/>
              <w:ind w:right="484"/>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Ad es. EDILIZIA</w:t>
            </w:r>
          </w:p>
          <w:p w14:paraId="4F1239CB"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093FF9B1" w14:textId="77777777" w:rsidR="00DC6F3B" w:rsidRPr="00AF38A8" w:rsidRDefault="00DC6F3B" w:rsidP="00BD1359">
            <w:pPr>
              <w:pBdr>
                <w:top w:val="nil"/>
                <w:left w:val="nil"/>
                <w:bottom w:val="nil"/>
                <w:right w:val="nil"/>
                <w:between w:val="nil"/>
              </w:pBdr>
              <w:spacing w:before="161" w:line="276" w:lineRule="auto"/>
              <w:ind w:right="484"/>
              <w:rPr>
                <w:rFonts w:asciiTheme="minorHAnsi" w:eastAsia="Times New Roman" w:hAnsiTheme="minorHAnsi" w:cstheme="minorHAnsi"/>
                <w:szCs w:val="24"/>
              </w:rPr>
            </w:pPr>
          </w:p>
        </w:tc>
        <w:tc>
          <w:tcPr>
            <w:tcW w:w="1321" w:type="dxa"/>
            <w:vMerge w:val="restart"/>
            <w:vAlign w:val="center"/>
          </w:tcPr>
          <w:p w14:paraId="765A9FB7" w14:textId="77777777" w:rsidR="00DC6F3B" w:rsidRPr="00AF38A8" w:rsidRDefault="00DC6F3B" w:rsidP="00BD1359">
            <w:pPr>
              <w:pBdr>
                <w:top w:val="nil"/>
                <w:left w:val="nil"/>
                <w:bottom w:val="nil"/>
                <w:right w:val="nil"/>
                <w:between w:val="nil"/>
              </w:pBdr>
              <w:spacing w:before="1" w:line="276" w:lineRule="auto"/>
              <w:ind w:right="227"/>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w:t>
            </w:r>
          </w:p>
          <w:p w14:paraId="0DAE13F6" w14:textId="77777777" w:rsidR="00DC6F3B" w:rsidRPr="00AF38A8" w:rsidRDefault="00DC6F3B" w:rsidP="00BD1359">
            <w:pPr>
              <w:pBdr>
                <w:top w:val="nil"/>
                <w:left w:val="nil"/>
                <w:bottom w:val="nil"/>
                <w:right w:val="nil"/>
                <w:between w:val="nil"/>
              </w:pBdr>
              <w:spacing w:before="1" w:line="276" w:lineRule="auto"/>
              <w:ind w:right="227"/>
              <w:rPr>
                <w:rFonts w:asciiTheme="minorHAnsi" w:eastAsia="Times New Roman" w:hAnsiTheme="minorHAnsi" w:cstheme="minorHAnsi"/>
                <w:szCs w:val="24"/>
              </w:rPr>
            </w:pPr>
          </w:p>
        </w:tc>
        <w:tc>
          <w:tcPr>
            <w:tcW w:w="1419" w:type="dxa"/>
            <w:vMerge w:val="restart"/>
            <w:vAlign w:val="center"/>
          </w:tcPr>
          <w:p w14:paraId="6A408E2B" w14:textId="77777777" w:rsidR="00DC6F3B" w:rsidRPr="00AF38A8" w:rsidRDefault="00DC6F3B" w:rsidP="00BD1359">
            <w:pPr>
              <w:pBdr>
                <w:top w:val="nil"/>
                <w:left w:val="nil"/>
                <w:bottom w:val="nil"/>
                <w:right w:val="nil"/>
                <w:between w:val="nil"/>
              </w:pBdr>
              <w:spacing w:line="276" w:lineRule="auto"/>
              <w:ind w:left="108"/>
              <w:jc w:val="center"/>
              <w:rPr>
                <w:rFonts w:asciiTheme="minorHAnsi" w:eastAsia="Times New Roman" w:hAnsiTheme="minorHAnsi" w:cstheme="minorHAnsi"/>
                <w:i/>
                <w:szCs w:val="24"/>
              </w:rPr>
            </w:pPr>
            <w:r w:rsidRPr="00AF38A8">
              <w:rPr>
                <w:rFonts w:asciiTheme="minorHAnsi" w:eastAsia="Times New Roman" w:hAnsiTheme="minorHAnsi" w:cstheme="minorHAnsi"/>
                <w:szCs w:val="24"/>
              </w:rPr>
              <w:t>[…]</w:t>
            </w:r>
          </w:p>
          <w:p w14:paraId="499B049A" w14:textId="77777777" w:rsidR="00DC6F3B" w:rsidRPr="00AF38A8" w:rsidRDefault="00DC6F3B" w:rsidP="00BD1359">
            <w:pPr>
              <w:pBdr>
                <w:top w:val="nil"/>
                <w:left w:val="nil"/>
                <w:bottom w:val="nil"/>
                <w:right w:val="nil"/>
                <w:between w:val="nil"/>
              </w:pBdr>
              <w:spacing w:line="276" w:lineRule="auto"/>
              <w:ind w:left="108"/>
              <w:rPr>
                <w:rFonts w:asciiTheme="minorHAnsi" w:eastAsia="Times New Roman" w:hAnsiTheme="minorHAnsi" w:cstheme="minorHAnsi"/>
                <w:i/>
                <w:szCs w:val="24"/>
              </w:rPr>
            </w:pPr>
          </w:p>
        </w:tc>
        <w:tc>
          <w:tcPr>
            <w:tcW w:w="1136" w:type="dxa"/>
            <w:vMerge w:val="restart"/>
            <w:vAlign w:val="center"/>
          </w:tcPr>
          <w:p w14:paraId="5B0C60E2" w14:textId="77777777" w:rsidR="00DC6F3B" w:rsidRPr="00AF38A8" w:rsidRDefault="00DC6F3B"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04EDAF3F" w14:textId="77777777" w:rsidR="00DC6F3B" w:rsidRPr="00AF38A8" w:rsidRDefault="00DC6F3B" w:rsidP="00BD1359">
            <w:pPr>
              <w:spacing w:line="276" w:lineRule="auto"/>
              <w:rPr>
                <w:rFonts w:asciiTheme="minorHAnsi" w:hAnsiTheme="minorHAnsi" w:cstheme="minorHAnsi"/>
                <w:szCs w:val="24"/>
              </w:rPr>
            </w:pPr>
          </w:p>
        </w:tc>
        <w:tc>
          <w:tcPr>
            <w:tcW w:w="848" w:type="dxa"/>
            <w:vMerge w:val="restart"/>
            <w:vAlign w:val="center"/>
          </w:tcPr>
          <w:p w14:paraId="2D68C201" w14:textId="77777777" w:rsidR="00DC6F3B" w:rsidRPr="00AF38A8" w:rsidRDefault="00DC6F3B"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26E76A18" w14:textId="77777777" w:rsidR="00DC6F3B" w:rsidRPr="00AF38A8" w:rsidRDefault="00DC6F3B" w:rsidP="00BD1359">
            <w:pPr>
              <w:spacing w:line="276" w:lineRule="auto"/>
              <w:rPr>
                <w:rFonts w:asciiTheme="minorHAnsi" w:hAnsiTheme="minorHAnsi" w:cstheme="minorHAnsi"/>
                <w:szCs w:val="24"/>
              </w:rPr>
            </w:pPr>
          </w:p>
        </w:tc>
        <w:tc>
          <w:tcPr>
            <w:tcW w:w="1275" w:type="dxa"/>
            <w:vAlign w:val="center"/>
          </w:tcPr>
          <w:p w14:paraId="16DDEA5F" w14:textId="77777777" w:rsidR="00DC6F3B" w:rsidRPr="00AF38A8" w:rsidRDefault="00DC6F3B"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5" w:type="dxa"/>
          </w:tcPr>
          <w:p w14:paraId="5A74F535" w14:textId="77777777" w:rsidR="00DC6F3B" w:rsidRPr="00AF38A8" w:rsidRDefault="00DC6F3B" w:rsidP="00BD1359">
            <w:pPr>
              <w:spacing w:line="276" w:lineRule="auto"/>
              <w:jc w:val="center"/>
              <w:rPr>
                <w:rFonts w:asciiTheme="minorHAnsi" w:eastAsia="Times New Roman" w:hAnsiTheme="minorHAnsi" w:cstheme="minorHAnsi"/>
                <w:szCs w:val="24"/>
              </w:rPr>
            </w:pPr>
          </w:p>
        </w:tc>
        <w:tc>
          <w:tcPr>
            <w:tcW w:w="1275" w:type="dxa"/>
          </w:tcPr>
          <w:p w14:paraId="53EFE305" w14:textId="77777777" w:rsidR="00DC6F3B" w:rsidRPr="00AF38A8" w:rsidRDefault="00DC6F3B" w:rsidP="00BD1359">
            <w:pPr>
              <w:spacing w:line="276" w:lineRule="auto"/>
              <w:jc w:val="center"/>
              <w:rPr>
                <w:rFonts w:asciiTheme="minorHAnsi" w:eastAsia="Times New Roman" w:hAnsiTheme="minorHAnsi" w:cstheme="minorHAnsi"/>
                <w:szCs w:val="24"/>
              </w:rPr>
            </w:pPr>
          </w:p>
        </w:tc>
      </w:tr>
      <w:tr w:rsidR="00DC6F3B" w:rsidRPr="00AF38A8" w14:paraId="76E60057" w14:textId="77777777" w:rsidTr="00AB0DC4">
        <w:trPr>
          <w:trHeight w:val="1449"/>
          <w:jc w:val="center"/>
        </w:trPr>
        <w:tc>
          <w:tcPr>
            <w:tcW w:w="2073" w:type="dxa"/>
            <w:vMerge/>
            <w:vAlign w:val="center"/>
          </w:tcPr>
          <w:p w14:paraId="54DC1642"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321" w:type="dxa"/>
            <w:vMerge/>
            <w:vAlign w:val="center"/>
          </w:tcPr>
          <w:p w14:paraId="1A4ED61E"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419" w:type="dxa"/>
            <w:vMerge/>
            <w:vAlign w:val="center"/>
          </w:tcPr>
          <w:p w14:paraId="5D790534"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136" w:type="dxa"/>
            <w:vMerge/>
            <w:vAlign w:val="center"/>
          </w:tcPr>
          <w:p w14:paraId="06C98099"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848" w:type="dxa"/>
            <w:vMerge/>
            <w:vAlign w:val="center"/>
          </w:tcPr>
          <w:p w14:paraId="7B5725DA" w14:textId="77777777" w:rsidR="00DC6F3B" w:rsidRPr="00AF38A8" w:rsidRDefault="00DC6F3B" w:rsidP="00BD1359">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Align w:val="center"/>
          </w:tcPr>
          <w:p w14:paraId="595405D8" w14:textId="77777777" w:rsidR="00DC6F3B" w:rsidRPr="00AF38A8" w:rsidRDefault="00DC6F3B" w:rsidP="00BD1359">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5" w:type="dxa"/>
          </w:tcPr>
          <w:p w14:paraId="07710DCF" w14:textId="77777777" w:rsidR="00DC6F3B" w:rsidRPr="00AF38A8" w:rsidRDefault="00DC6F3B" w:rsidP="00BD1359">
            <w:pPr>
              <w:spacing w:line="276" w:lineRule="auto"/>
              <w:jc w:val="center"/>
              <w:rPr>
                <w:rFonts w:asciiTheme="minorHAnsi" w:eastAsia="Times New Roman" w:hAnsiTheme="minorHAnsi" w:cstheme="minorHAnsi"/>
                <w:szCs w:val="24"/>
              </w:rPr>
            </w:pPr>
          </w:p>
        </w:tc>
        <w:tc>
          <w:tcPr>
            <w:tcW w:w="1275" w:type="dxa"/>
          </w:tcPr>
          <w:p w14:paraId="172B659D" w14:textId="77777777" w:rsidR="00DC6F3B" w:rsidRPr="00AF38A8" w:rsidRDefault="00DC6F3B" w:rsidP="00BD1359">
            <w:pPr>
              <w:spacing w:line="276" w:lineRule="auto"/>
              <w:jc w:val="center"/>
              <w:rPr>
                <w:rFonts w:asciiTheme="minorHAnsi" w:eastAsia="Times New Roman" w:hAnsiTheme="minorHAnsi" w:cstheme="minorHAnsi"/>
                <w:szCs w:val="24"/>
              </w:rPr>
            </w:pPr>
          </w:p>
        </w:tc>
      </w:tr>
      <w:tr w:rsidR="00DC6F3B" w:rsidRPr="00AF38A8" w14:paraId="2C8B2309" w14:textId="77777777" w:rsidTr="00AB0DC4">
        <w:trPr>
          <w:trHeight w:val="629"/>
          <w:jc w:val="center"/>
        </w:trPr>
        <w:tc>
          <w:tcPr>
            <w:tcW w:w="8072" w:type="dxa"/>
            <w:gridSpan w:val="6"/>
          </w:tcPr>
          <w:p w14:paraId="70A7EE4E" w14:textId="77777777" w:rsidR="00DC6F3B" w:rsidRPr="00AF38A8" w:rsidRDefault="00DC6F3B" w:rsidP="00BD1359">
            <w:pPr>
              <w:pBdr>
                <w:top w:val="nil"/>
                <w:left w:val="nil"/>
                <w:bottom w:val="nil"/>
                <w:right w:val="nil"/>
                <w:between w:val="nil"/>
              </w:pBdr>
              <w:spacing w:line="276" w:lineRule="auto"/>
              <w:ind w:right="484"/>
              <w:rPr>
                <w:rFonts w:asciiTheme="minorHAnsi" w:eastAsia="Times New Roman" w:hAnsiTheme="minorHAnsi" w:cstheme="minorHAnsi"/>
                <w:b/>
                <w:i/>
                <w:szCs w:val="24"/>
              </w:rPr>
            </w:pPr>
          </w:p>
          <w:p w14:paraId="756E2B55" w14:textId="77777777" w:rsidR="00DC6F3B" w:rsidRPr="00AF38A8" w:rsidRDefault="00DC6F3B" w:rsidP="00BD1359">
            <w:pPr>
              <w:pBdr>
                <w:top w:val="nil"/>
                <w:left w:val="nil"/>
                <w:bottom w:val="nil"/>
                <w:right w:val="nil"/>
                <w:between w:val="nil"/>
              </w:pBdr>
              <w:spacing w:line="276" w:lineRule="auto"/>
              <w:ind w:right="484"/>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SOMMA</w:t>
            </w:r>
          </w:p>
        </w:tc>
        <w:tc>
          <w:tcPr>
            <w:tcW w:w="1275" w:type="dxa"/>
          </w:tcPr>
          <w:p w14:paraId="1E81459B" w14:textId="77777777" w:rsidR="00DC6F3B" w:rsidRPr="00AF38A8" w:rsidRDefault="00DC6F3B" w:rsidP="00BD1359">
            <w:pPr>
              <w:spacing w:line="276" w:lineRule="auto"/>
              <w:jc w:val="center"/>
              <w:rPr>
                <w:rFonts w:asciiTheme="minorHAnsi" w:eastAsia="Times New Roman" w:hAnsiTheme="minorHAnsi" w:cstheme="minorHAnsi"/>
                <w:szCs w:val="24"/>
              </w:rPr>
            </w:pPr>
          </w:p>
        </w:tc>
        <w:tc>
          <w:tcPr>
            <w:tcW w:w="1275" w:type="dxa"/>
          </w:tcPr>
          <w:p w14:paraId="60580A2C" w14:textId="77777777" w:rsidR="00DC6F3B" w:rsidRPr="00AF38A8" w:rsidRDefault="00DC6F3B" w:rsidP="00BD1359">
            <w:pPr>
              <w:spacing w:line="276" w:lineRule="auto"/>
              <w:jc w:val="center"/>
              <w:rPr>
                <w:rFonts w:asciiTheme="minorHAnsi" w:eastAsia="Times New Roman" w:hAnsiTheme="minorHAnsi" w:cstheme="minorHAnsi"/>
                <w:szCs w:val="24"/>
              </w:rPr>
            </w:pPr>
          </w:p>
        </w:tc>
      </w:tr>
      <w:tr w:rsidR="00DC6F3B" w:rsidRPr="00AF38A8" w14:paraId="34CE0FE2" w14:textId="77777777" w:rsidTr="00AB0DC4">
        <w:trPr>
          <w:trHeight w:val="625"/>
          <w:jc w:val="center"/>
        </w:trPr>
        <w:tc>
          <w:tcPr>
            <w:tcW w:w="8072" w:type="dxa"/>
            <w:gridSpan w:val="6"/>
          </w:tcPr>
          <w:p w14:paraId="70CBDD12" w14:textId="77777777" w:rsidR="00DC6F3B" w:rsidRPr="00AF38A8" w:rsidRDefault="00DC6F3B" w:rsidP="00BD1359">
            <w:pPr>
              <w:pBdr>
                <w:top w:val="nil"/>
                <w:left w:val="nil"/>
                <w:bottom w:val="nil"/>
                <w:right w:val="nil"/>
                <w:between w:val="nil"/>
              </w:pBdr>
              <w:spacing w:line="276" w:lineRule="auto"/>
              <w:jc w:val="center"/>
              <w:rPr>
                <w:rFonts w:asciiTheme="minorHAnsi" w:eastAsia="Times New Roman" w:hAnsiTheme="minorHAnsi" w:cstheme="minorHAnsi"/>
                <w:b/>
                <w:i/>
                <w:szCs w:val="24"/>
              </w:rPr>
            </w:pPr>
            <w:r w:rsidRPr="00AF38A8">
              <w:rPr>
                <w:rFonts w:asciiTheme="minorHAnsi" w:eastAsia="Times New Roman" w:hAnsiTheme="minorHAnsi" w:cstheme="minorHAnsi"/>
                <w:b/>
                <w:i/>
                <w:szCs w:val="24"/>
              </w:rPr>
              <w:t>Totale comprensivo di spese e oneri</w:t>
            </w:r>
          </w:p>
        </w:tc>
        <w:tc>
          <w:tcPr>
            <w:tcW w:w="2550" w:type="dxa"/>
            <w:gridSpan w:val="2"/>
          </w:tcPr>
          <w:p w14:paraId="57ECDC58" w14:textId="77777777" w:rsidR="00DC6F3B" w:rsidRPr="00AF38A8" w:rsidRDefault="00DC6F3B" w:rsidP="00BD1359">
            <w:pPr>
              <w:spacing w:line="276" w:lineRule="auto"/>
              <w:jc w:val="center"/>
              <w:rPr>
                <w:rFonts w:asciiTheme="minorHAnsi" w:eastAsia="Times New Roman" w:hAnsiTheme="minorHAnsi" w:cstheme="minorHAnsi"/>
                <w:szCs w:val="24"/>
              </w:rPr>
            </w:pPr>
          </w:p>
        </w:tc>
      </w:tr>
    </w:tbl>
    <w:p w14:paraId="060EC318" w14:textId="7F5F2B82" w:rsidR="00DC6F3B" w:rsidRDefault="00DC6F3B" w:rsidP="00BD1359">
      <w:pPr>
        <w:spacing w:line="276" w:lineRule="auto"/>
        <w:rPr>
          <w:rFonts w:asciiTheme="minorHAnsi" w:eastAsia="Times New Roman" w:hAnsiTheme="minorHAnsi" w:cstheme="minorHAnsi"/>
          <w:b/>
          <w:i/>
          <w:sz w:val="24"/>
          <w:szCs w:val="24"/>
        </w:rPr>
      </w:pPr>
    </w:p>
    <w:p w14:paraId="269632B0" w14:textId="77777777" w:rsidR="00A91201" w:rsidRPr="00AF38A8" w:rsidRDefault="00A91201"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L’appalto è finanziato con …………. [</w:t>
      </w:r>
      <w:r w:rsidRPr="00DC6F3B">
        <w:rPr>
          <w:rFonts w:asciiTheme="minorHAnsi" w:eastAsia="Times New Roman" w:hAnsiTheme="minorHAnsi" w:cstheme="minorHAnsi"/>
          <w:i/>
          <w:sz w:val="24"/>
          <w:szCs w:val="24"/>
        </w:rPr>
        <w:t>interamente con i fondi stanziati per la ricostruzione pubblica a seguito degli eventi sismici verificatisi a far data dal 24 agosto 2016 ai sensi decreto legge ottobre 2016, n. 189, convertito con modificazioni dalla legge 15 dicembre 2016, n. 229 e dell’O.C.S.R. n. … del ….</w:t>
      </w:r>
      <w:r w:rsidRPr="00AF38A8">
        <w:rPr>
          <w:rFonts w:asciiTheme="minorHAnsi" w:eastAsia="Times New Roman" w:hAnsiTheme="minorHAnsi" w:cstheme="minorHAnsi"/>
          <w:sz w:val="24"/>
          <w:szCs w:val="24"/>
        </w:rPr>
        <w:t xml:space="preserve">]. </w:t>
      </w:r>
    </w:p>
    <w:p w14:paraId="6B235636" w14:textId="322D515A" w:rsidR="00A91201" w:rsidRDefault="00A91201"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corresponsione del compenso non è subordinata all’ottenimento del finanziamento dell’opera progettata.</w:t>
      </w:r>
    </w:p>
    <w:p w14:paraId="0F96C736" w14:textId="0F386541" w:rsidR="00DC6F3B" w:rsidRDefault="00DC6F3B" w:rsidP="00BD1359">
      <w:pPr>
        <w:pBdr>
          <w:top w:val="nil"/>
          <w:left w:val="nil"/>
          <w:bottom w:val="nil"/>
          <w:right w:val="nil"/>
          <w:between w:val="nil"/>
        </w:pBdr>
        <w:spacing w:line="276" w:lineRule="auto"/>
        <w:jc w:val="center"/>
        <w:rPr>
          <w:rFonts w:asciiTheme="minorHAnsi" w:eastAsia="Times New Roman" w:hAnsiTheme="minorHAnsi" w:cstheme="minorHAnsi"/>
          <w:i/>
          <w:sz w:val="24"/>
          <w:szCs w:val="24"/>
        </w:rPr>
      </w:pPr>
      <w:r>
        <w:rPr>
          <w:rFonts w:asciiTheme="minorHAnsi" w:eastAsia="Times New Roman" w:hAnsiTheme="minorHAnsi" w:cstheme="minorHAnsi"/>
          <w:i/>
          <w:sz w:val="24"/>
          <w:szCs w:val="24"/>
        </w:rPr>
        <w:t>***</w:t>
      </w:r>
    </w:p>
    <w:p w14:paraId="0D417D16" w14:textId="75E7C02E" w:rsidR="00DC6F3B" w:rsidRPr="00AF38A8" w:rsidRDefault="00DC6F3B" w:rsidP="00BD1359">
      <w:pPr>
        <w:pBdr>
          <w:top w:val="nil"/>
          <w:left w:val="nil"/>
          <w:bottom w:val="nil"/>
          <w:right w:val="nil"/>
          <w:between w:val="nil"/>
        </w:pBdr>
        <w:spacing w:line="276" w:lineRule="auto"/>
        <w:jc w:val="both"/>
        <w:rPr>
          <w:rFonts w:asciiTheme="minorHAnsi" w:eastAsia="Times New Roman" w:hAnsiTheme="minorHAnsi" w:cstheme="minorHAnsi"/>
          <w:i/>
          <w:sz w:val="24"/>
          <w:szCs w:val="24"/>
        </w:rPr>
      </w:pPr>
      <w:r>
        <w:rPr>
          <w:rFonts w:asciiTheme="minorHAnsi" w:eastAsia="Times New Roman" w:hAnsiTheme="minorHAnsi" w:cstheme="minorHAnsi"/>
          <w:i/>
          <w:sz w:val="24"/>
          <w:szCs w:val="24"/>
        </w:rPr>
        <w:t>[</w:t>
      </w:r>
      <w:r w:rsidRPr="00DC6F3B">
        <w:rPr>
          <w:rFonts w:asciiTheme="minorHAnsi" w:eastAsia="Times New Roman" w:hAnsiTheme="minorHAnsi" w:cstheme="minorHAnsi"/>
          <w:b/>
          <w:i/>
          <w:sz w:val="24"/>
          <w:szCs w:val="24"/>
        </w:rPr>
        <w:t>eventuale</w:t>
      </w:r>
      <w:r w:rsidRPr="00DC6F3B">
        <w:rPr>
          <w:b/>
        </w:rPr>
        <w:t xml:space="preserve"> </w:t>
      </w:r>
      <w:r w:rsidRPr="00DC6F3B">
        <w:rPr>
          <w:rFonts w:asciiTheme="minorHAnsi" w:eastAsia="Times New Roman" w:hAnsiTheme="minorHAnsi" w:cstheme="minorHAnsi"/>
          <w:b/>
          <w:i/>
          <w:sz w:val="24"/>
          <w:szCs w:val="24"/>
        </w:rPr>
        <w:t>qualora sia richiesta l’adozione della metodologia BIM</w:t>
      </w:r>
      <w:r>
        <w:rPr>
          <w:rFonts w:asciiTheme="minorHAnsi" w:eastAsia="Times New Roman" w:hAnsiTheme="minorHAnsi" w:cstheme="minorHAnsi"/>
          <w:i/>
          <w:sz w:val="24"/>
          <w:szCs w:val="24"/>
        </w:rPr>
        <w:t>]</w:t>
      </w:r>
    </w:p>
    <w:p w14:paraId="1F798BC1" w14:textId="14F3337F" w:rsidR="00DC6F3B" w:rsidRPr="00DC6F3B" w:rsidRDefault="00DC6F3B" w:rsidP="00BD1359">
      <w:pPr>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È richiesta l’elaborazione della progettazione in modalità “Building Information Modeling” (BIM), secondo le indicazioni contenute nel documento di indirizzo alla progettazione (DIP).</w:t>
      </w:r>
    </w:p>
    <w:p w14:paraId="71F7F0FB" w14:textId="7F24E873" w:rsidR="00A91201" w:rsidRPr="00AF38A8" w:rsidRDefault="00A91201" w:rsidP="00BD1359">
      <w:pPr>
        <w:spacing w:line="276" w:lineRule="auto"/>
        <w:jc w:val="both"/>
        <w:rPr>
          <w:rFonts w:asciiTheme="minorHAnsi" w:eastAsia="Times New Roman" w:hAnsiTheme="minorHAnsi" w:cstheme="minorHAnsi"/>
          <w:i/>
          <w:sz w:val="24"/>
          <w:szCs w:val="24"/>
        </w:rPr>
      </w:pPr>
      <w:r w:rsidRPr="00DC6F3B">
        <w:rPr>
          <w:rFonts w:asciiTheme="minorHAnsi" w:eastAsia="Times New Roman" w:hAnsiTheme="minorHAnsi" w:cstheme="minorHAnsi"/>
          <w:sz w:val="24"/>
          <w:szCs w:val="24"/>
        </w:rPr>
        <w:t>In ragione della adozione della metodologia BIM, all’importo da porre a base di gara, si applica</w:t>
      </w:r>
      <w:r w:rsidR="00DC6F3B" w:rsidRPr="00DC6F3B">
        <w:rPr>
          <w:rFonts w:asciiTheme="minorHAnsi" w:eastAsia="Times New Roman" w:hAnsiTheme="minorHAnsi" w:cstheme="minorHAnsi"/>
          <w:sz w:val="24"/>
          <w:szCs w:val="24"/>
        </w:rPr>
        <w:t xml:space="preserve">, ai sensi dell’articolo 2, comma 5, dell’allegato I.13 al Codice, </w:t>
      </w:r>
      <w:r w:rsidRPr="00DC6F3B">
        <w:rPr>
          <w:rFonts w:asciiTheme="minorHAnsi" w:eastAsia="Times New Roman" w:hAnsiTheme="minorHAnsi" w:cstheme="minorHAnsi"/>
          <w:sz w:val="24"/>
          <w:szCs w:val="24"/>
        </w:rPr>
        <w:t>un incremento percentuale pari al 10 per cento sul complessivo di calcolo degli onorari e prima dell’applicazione della percentuale relativa alle spese e oneri accessori, che sono calcolate anche sull’incremento percentuale BIM. Tale incremento viene applicato a tutti i servizi e a tutte le prestazioni oggetto di affidamento</w:t>
      </w:r>
      <w:r w:rsidRPr="00AF38A8">
        <w:rPr>
          <w:rFonts w:asciiTheme="minorHAnsi" w:eastAsia="Times New Roman" w:hAnsiTheme="minorHAnsi" w:cstheme="minorHAnsi"/>
          <w:i/>
          <w:sz w:val="24"/>
          <w:szCs w:val="24"/>
        </w:rPr>
        <w:t>.</w:t>
      </w:r>
    </w:p>
    <w:p w14:paraId="514E7D6C" w14:textId="77777777" w:rsidR="00D11CAB" w:rsidRPr="00AF38A8" w:rsidRDefault="00D11CAB" w:rsidP="00BD1359">
      <w:pPr>
        <w:spacing w:line="276" w:lineRule="auto"/>
        <w:jc w:val="both"/>
        <w:rPr>
          <w:rFonts w:asciiTheme="minorHAnsi" w:eastAsia="Times New Roman" w:hAnsiTheme="minorHAnsi" w:cstheme="minorHAnsi"/>
          <w:i/>
          <w:sz w:val="24"/>
          <w:szCs w:val="24"/>
        </w:rPr>
      </w:pPr>
    </w:p>
    <w:p w14:paraId="60EEEDA4" w14:textId="7F6A8330" w:rsidR="00D11CAB" w:rsidRPr="00AF38A8" w:rsidRDefault="00D11CAB" w:rsidP="00BD1359">
      <w:pP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sz w:val="24"/>
          <w:szCs w:val="24"/>
        </w:rPr>
        <w:t>La progettazione dovrà essere redatta mediante l’utilizzo</w:t>
      </w:r>
      <w:r w:rsidRPr="00AF38A8">
        <w:rPr>
          <w:rFonts w:asciiTheme="minorHAnsi" w:eastAsia="Times New Roman" w:hAnsiTheme="minorHAnsi" w:cstheme="minorHAnsi"/>
          <w:b/>
          <w:i/>
          <w:sz w:val="24"/>
          <w:szCs w:val="24"/>
        </w:rPr>
        <w:t xml:space="preserve"> </w:t>
      </w:r>
      <w:r w:rsidRPr="00AF38A8">
        <w:rPr>
          <w:rFonts w:asciiTheme="minorHAnsi" w:eastAsia="Times New Roman" w:hAnsiTheme="minorHAnsi" w:cstheme="minorHAnsi"/>
          <w:sz w:val="24"/>
          <w:szCs w:val="24"/>
        </w:rPr>
        <w:t>del “Prezzario Unico del cratere del Centro Italia” di riferimento per l’intervento di cui trattasi, vigente al momento dell’affidamento</w:t>
      </w:r>
      <w:r w:rsidRPr="00AF38A8">
        <w:rPr>
          <w:rFonts w:asciiTheme="minorHAnsi" w:eastAsia="Times New Roman" w:hAnsiTheme="minorHAnsi" w:cstheme="minorHAnsi"/>
          <w:b/>
          <w:i/>
          <w:sz w:val="24"/>
          <w:szCs w:val="24"/>
        </w:rPr>
        <w:t xml:space="preserve"> [attualmente “Prezziario unico del cratere del Centro Italia”, di cui all’Ordinanza Commissariale n. 126 del 28.04.2022 e </w:t>
      </w:r>
      <w:proofErr w:type="spellStart"/>
      <w:r w:rsidRPr="00AF38A8">
        <w:rPr>
          <w:rFonts w:asciiTheme="minorHAnsi" w:eastAsia="Times New Roman" w:hAnsiTheme="minorHAnsi" w:cstheme="minorHAnsi"/>
          <w:b/>
          <w:i/>
          <w:sz w:val="24"/>
          <w:szCs w:val="24"/>
        </w:rPr>
        <w:t>ss.mm.ii</w:t>
      </w:r>
      <w:proofErr w:type="spellEnd"/>
      <w:r w:rsidRPr="00AF38A8">
        <w:rPr>
          <w:rFonts w:asciiTheme="minorHAnsi" w:eastAsia="Times New Roman" w:hAnsiTheme="minorHAnsi" w:cstheme="minorHAnsi"/>
          <w:b/>
          <w:i/>
          <w:sz w:val="24"/>
          <w:szCs w:val="24"/>
        </w:rPr>
        <w:t xml:space="preserve"> recante “Misure in materia di eccezionale aumento dei costi delle materie prime nella ricostruzione ed altre disposizioni e modifiche e integrazioni ad altre ordinanze vigenti” e relativo decreto attuativo] ovvero, anche rispetto alle singole voci, il prezzario regionale di riferimento vigente e, limitatamente alle voci non contemplate dallo stesso, anche i prezzari delle altre regioni interessate dal sisma 2016.</w:t>
      </w:r>
    </w:p>
    <w:bookmarkEnd w:id="35"/>
    <w:p w14:paraId="6214833B" w14:textId="77777777" w:rsidR="00697AC2" w:rsidRPr="00AF38A8" w:rsidRDefault="00697AC2" w:rsidP="00BD1359">
      <w:pPr>
        <w:spacing w:line="276" w:lineRule="auto"/>
        <w:jc w:val="both"/>
        <w:rPr>
          <w:rFonts w:asciiTheme="minorHAnsi" w:eastAsia="Times New Roman" w:hAnsiTheme="minorHAnsi" w:cstheme="minorHAnsi"/>
          <w:i/>
          <w:sz w:val="24"/>
          <w:szCs w:val="24"/>
        </w:rPr>
      </w:pPr>
    </w:p>
    <w:p w14:paraId="65CD59CC" w14:textId="77777777" w:rsidR="0076366E"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bookmarkStart w:id="36" w:name="_Toc139277023"/>
      <w:bookmarkStart w:id="37" w:name="_Toc140929818"/>
      <w:bookmarkStart w:id="38" w:name="_Toc141027260"/>
      <w:r w:rsidRPr="00AF38A8">
        <w:rPr>
          <w:rFonts w:asciiTheme="minorHAnsi" w:eastAsia="Times New Roman" w:hAnsiTheme="minorHAnsi" w:cstheme="minorHAnsi"/>
          <w:sz w:val="24"/>
          <w:szCs w:val="24"/>
        </w:rPr>
        <w:t>Durata</w:t>
      </w:r>
      <w:bookmarkEnd w:id="36"/>
      <w:bookmarkEnd w:id="37"/>
      <w:bookmarkEnd w:id="38"/>
    </w:p>
    <w:p w14:paraId="11FAD4BC" w14:textId="4071AD7E" w:rsidR="0076366E" w:rsidRPr="00AF38A8" w:rsidRDefault="00BA3D28" w:rsidP="00BD1359">
      <w:pPr>
        <w:spacing w:line="276" w:lineRule="auto"/>
        <w:ind w:left="2"/>
        <w:jc w:val="both"/>
        <w:rPr>
          <w:rFonts w:asciiTheme="minorHAnsi" w:eastAsia="Times New Roman" w:hAnsiTheme="minorHAnsi" w:cstheme="minorHAnsi"/>
          <w:sz w:val="24"/>
          <w:szCs w:val="24"/>
        </w:rPr>
      </w:pPr>
      <w:bookmarkStart w:id="39" w:name="_heading=h.2nusc19" w:colFirst="0" w:colLast="0"/>
      <w:bookmarkStart w:id="40" w:name="_Hlk140935647"/>
      <w:bookmarkEnd w:id="39"/>
      <w:r w:rsidRPr="00AF38A8">
        <w:rPr>
          <w:rFonts w:asciiTheme="minorHAnsi" w:eastAsia="Times New Roman" w:hAnsiTheme="minorHAnsi" w:cstheme="minorHAnsi"/>
          <w:sz w:val="24"/>
          <w:szCs w:val="24"/>
        </w:rPr>
        <w:t>Le prestazioni oggetto dell’appalto (escluse le eventuali opzioni) devono essere eseguite in [</w:t>
      </w:r>
      <w:r w:rsidRPr="00AF38A8">
        <w:rPr>
          <w:rFonts w:asciiTheme="minorHAnsi" w:eastAsia="Times New Roman" w:hAnsiTheme="minorHAnsi" w:cstheme="minorHAnsi"/>
          <w:i/>
          <w:sz w:val="24"/>
          <w:szCs w:val="24"/>
        </w:rPr>
        <w:t>indicare</w:t>
      </w:r>
      <w:r w:rsidRPr="00AF38A8">
        <w:rPr>
          <w:rFonts w:asciiTheme="minorHAnsi" w:eastAsia="Times New Roman" w:hAnsiTheme="minorHAnsi" w:cstheme="minorHAnsi"/>
          <w:sz w:val="24"/>
          <w:szCs w:val="24"/>
        </w:rPr>
        <w:t>], decorrenti dalla data di … [</w:t>
      </w:r>
      <w:r w:rsidRPr="00AF38A8">
        <w:rPr>
          <w:rFonts w:asciiTheme="minorHAnsi" w:eastAsia="Times New Roman" w:hAnsiTheme="minorHAnsi" w:cstheme="minorHAnsi"/>
          <w:i/>
          <w:sz w:val="24"/>
          <w:szCs w:val="24"/>
        </w:rPr>
        <w:t>indicare il termine iniziale: per esempio la sottoscrizione del contratto. In caso di suddivisione dell’appalto in più lotti specificare eventuali durate differenziate per ciascun lotto</w:t>
      </w:r>
      <w:r w:rsidRPr="00AF38A8">
        <w:rPr>
          <w:rFonts w:asciiTheme="minorHAnsi" w:eastAsia="Times New Roman" w:hAnsiTheme="minorHAnsi" w:cstheme="minorHAnsi"/>
          <w:sz w:val="24"/>
          <w:szCs w:val="24"/>
        </w:rPr>
        <w:t>].</w:t>
      </w:r>
    </w:p>
    <w:p w14:paraId="5EBFD9CE" w14:textId="77777777" w:rsidR="0076366E" w:rsidRPr="00AF38A8" w:rsidRDefault="00BA3D28" w:rsidP="00BD1359">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particolare, in riferimento alle singole prestazioni si applicano i seguenti termini:</w:t>
      </w:r>
    </w:p>
    <w:p w14:paraId="0113A5CE" w14:textId="4767469E" w:rsidR="0076366E" w:rsidRPr="00AF38A8" w:rsidRDefault="00BA3D28" w:rsidP="00BD1359">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per ……….…[</w:t>
      </w:r>
      <w:r w:rsidRPr="00DC6F3B">
        <w:rPr>
          <w:rFonts w:asciiTheme="minorHAnsi" w:eastAsia="Times New Roman" w:hAnsiTheme="minorHAnsi" w:cstheme="minorHAnsi"/>
          <w:i/>
          <w:sz w:val="24"/>
          <w:szCs w:val="24"/>
        </w:rPr>
        <w:t>indicare la prestazione</w:t>
      </w:r>
      <w:r w:rsidRPr="00AF38A8">
        <w:rPr>
          <w:rFonts w:asciiTheme="minorHAnsi" w:eastAsia="Times New Roman" w:hAnsiTheme="minorHAnsi" w:cstheme="minorHAnsi"/>
          <w:sz w:val="24"/>
          <w:szCs w:val="24"/>
        </w:rPr>
        <w:t>] n. … [</w:t>
      </w:r>
      <w:r w:rsidRPr="00DC6F3B">
        <w:rPr>
          <w:rFonts w:asciiTheme="minorHAnsi" w:eastAsia="Times New Roman" w:hAnsiTheme="minorHAnsi" w:cstheme="minorHAnsi"/>
          <w:i/>
          <w:sz w:val="24"/>
          <w:szCs w:val="24"/>
        </w:rPr>
        <w:t xml:space="preserve">indicare </w:t>
      </w:r>
      <w:r w:rsidR="00DC6F3B">
        <w:rPr>
          <w:rFonts w:asciiTheme="minorHAnsi" w:eastAsia="Times New Roman" w:hAnsiTheme="minorHAnsi" w:cstheme="minorHAnsi"/>
          <w:i/>
          <w:sz w:val="24"/>
          <w:szCs w:val="24"/>
        </w:rPr>
        <w:t>termini</w:t>
      </w:r>
      <w:r w:rsidRPr="00AF38A8">
        <w:rPr>
          <w:rFonts w:asciiTheme="minorHAnsi" w:eastAsia="Times New Roman" w:hAnsiTheme="minorHAnsi" w:cstheme="minorHAnsi"/>
          <w:sz w:val="24"/>
          <w:szCs w:val="24"/>
        </w:rPr>
        <w:t>], decorrenti dalla data di .......</w:t>
      </w:r>
    </w:p>
    <w:p w14:paraId="69CC8DE0" w14:textId="77777777" w:rsidR="0076366E" w:rsidRPr="00AF38A8" w:rsidRDefault="00BA3D28" w:rsidP="00BD1359">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Ad esempio:</w:t>
      </w:r>
    </w:p>
    <w:p w14:paraId="676BB380" w14:textId="77777777" w:rsidR="0076366E" w:rsidRPr="00AF38A8" w:rsidRDefault="00BA3D28" w:rsidP="00BD1359">
      <w:pPr>
        <w:numPr>
          <w:ilvl w:val="0"/>
          <w:numId w:val="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Progettazione di fattibilità tecnica ed economica: ….giorni naturali e consecutivi dalla data di stipula del contratto e/o dall’ordine di servizio del RUP in pendenza di stipula del contratto (ovvero il minor tempo offerto in sede di gara);</w:t>
      </w:r>
    </w:p>
    <w:p w14:paraId="29D214BC" w14:textId="752DDDDA" w:rsidR="0076366E" w:rsidRPr="00AF38A8" w:rsidRDefault="00BA3D28" w:rsidP="00BD1359">
      <w:pPr>
        <w:numPr>
          <w:ilvl w:val="0"/>
          <w:numId w:val="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Progetto esecutivo: ….. giorni naturali e consecutivi dalla data di stipula del contratto e/o dall’ordine di servizio del RUP in pendenza di stipula del contratto (ovvero il minor tempo offerto in sede di gara)</w:t>
      </w:r>
      <w:r w:rsidR="009B40DA" w:rsidRPr="00AF38A8">
        <w:rPr>
          <w:rFonts w:asciiTheme="minorHAnsi" w:eastAsia="Times New Roman" w:hAnsiTheme="minorHAnsi" w:cstheme="minorHAnsi"/>
          <w:sz w:val="24"/>
          <w:szCs w:val="24"/>
        </w:rPr>
        <w:t>.</w:t>
      </w:r>
    </w:p>
    <w:p w14:paraId="7F545B69" w14:textId="77777777" w:rsidR="000D7AFA" w:rsidRPr="00AF38A8" w:rsidRDefault="000D7AFA" w:rsidP="00BD1359">
      <w:pPr>
        <w:spacing w:line="276" w:lineRule="auto"/>
        <w:ind w:right="610"/>
        <w:jc w:val="both"/>
        <w:rPr>
          <w:rFonts w:asciiTheme="minorHAnsi" w:eastAsia="Times New Roman" w:hAnsiTheme="minorHAnsi" w:cstheme="minorHAnsi"/>
          <w:sz w:val="24"/>
          <w:szCs w:val="24"/>
        </w:rPr>
      </w:pPr>
    </w:p>
    <w:p w14:paraId="6DBE2C94" w14:textId="600CFB88" w:rsidR="000D7AFA" w:rsidRPr="001D7F02" w:rsidRDefault="000D7AFA"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b/>
          <w:i/>
          <w:sz w:val="18"/>
          <w:szCs w:val="18"/>
        </w:rPr>
      </w:pPr>
      <w:r w:rsidRPr="001D7F02">
        <w:rPr>
          <w:rFonts w:ascii="Titillium" w:hAnsi="Titillium"/>
          <w:b/>
          <w:i/>
          <w:sz w:val="18"/>
          <w:szCs w:val="18"/>
        </w:rPr>
        <w:t>[N.B. verificare eventuale presenza di disposizioni con riguardo a termini di progettazione massimi nella pertinente OCSR e possibili deroghe da motivare, ove autorizzate]</w:t>
      </w:r>
    </w:p>
    <w:p w14:paraId="6C7D9B5D" w14:textId="77777777" w:rsidR="00DC6F3B" w:rsidRDefault="00DC6F3B" w:rsidP="00BD1359">
      <w:pPr>
        <w:spacing w:line="276" w:lineRule="auto"/>
        <w:jc w:val="both"/>
        <w:rPr>
          <w:rFonts w:asciiTheme="minorHAnsi" w:eastAsia="Times New Roman" w:hAnsiTheme="minorHAnsi" w:cstheme="minorHAnsi"/>
          <w:sz w:val="24"/>
          <w:szCs w:val="24"/>
        </w:rPr>
      </w:pPr>
      <w:bookmarkStart w:id="41" w:name="_heading=h.2250f4o" w:colFirst="0" w:colLast="0"/>
      <w:bookmarkEnd w:id="41"/>
    </w:p>
    <w:p w14:paraId="5B229310" w14:textId="510B5472" w:rsidR="00C05C36" w:rsidRPr="00DC6F3B" w:rsidRDefault="00BA3D28" w:rsidP="00BD1359">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9751EC">
        <w:rPr>
          <w:rFonts w:asciiTheme="minorHAnsi" w:eastAsia="Times New Roman" w:hAnsiTheme="minorHAnsi" w:cstheme="minorHAnsi"/>
          <w:b/>
          <w:i/>
          <w:sz w:val="24"/>
          <w:szCs w:val="24"/>
        </w:rPr>
        <w:t>Facoltativo: nel caso di utilizzo della riduzione del tempo di esecuzione quale elemento di valutazione delle offerte negli appalti di progettazione</w:t>
      </w:r>
      <w:r w:rsidRPr="00AF38A8">
        <w:rPr>
          <w:rFonts w:asciiTheme="minorHAnsi" w:eastAsia="Times New Roman" w:hAnsiTheme="minorHAnsi" w:cstheme="minorHAnsi"/>
          <w:sz w:val="24"/>
          <w:szCs w:val="24"/>
        </w:rPr>
        <w:t>] La durata effettiva dell’appalto sarà determinata sulla base dei tempi indicati dall’aggiudicatario in sede di offerta.</w:t>
      </w:r>
    </w:p>
    <w:p w14:paraId="78DDB67C" w14:textId="1DE308C0" w:rsidR="00C05C36" w:rsidRDefault="00C05C36" w:rsidP="00BD1359">
      <w:pPr>
        <w:spacing w:line="276" w:lineRule="auto"/>
        <w:jc w:val="both"/>
        <w:rPr>
          <w:rFonts w:asciiTheme="minorHAnsi" w:eastAsia="Times New Roman" w:hAnsiTheme="minorHAnsi" w:cstheme="minorHAnsi"/>
          <w:bCs/>
          <w:iCs/>
          <w:sz w:val="24"/>
          <w:szCs w:val="24"/>
        </w:rPr>
      </w:pPr>
      <w:r w:rsidRPr="00AF38A8">
        <w:rPr>
          <w:rFonts w:asciiTheme="minorHAnsi" w:eastAsia="Times New Roman" w:hAnsiTheme="minorHAnsi" w:cstheme="minorHAnsi"/>
          <w:bCs/>
          <w:iCs/>
          <w:sz w:val="24"/>
          <w:szCs w:val="24"/>
        </w:rPr>
        <w:t xml:space="preserve">È autorizzata l’esecuzione del contratto in via d’urgenza ai sensi dell’art. </w:t>
      </w:r>
      <w:r w:rsidR="007E35F7" w:rsidRPr="00AF38A8">
        <w:rPr>
          <w:rFonts w:asciiTheme="minorHAnsi" w:eastAsia="Times New Roman" w:hAnsiTheme="minorHAnsi" w:cstheme="minorHAnsi"/>
          <w:bCs/>
          <w:iCs/>
          <w:sz w:val="24"/>
          <w:szCs w:val="24"/>
        </w:rPr>
        <w:t>50</w:t>
      </w:r>
      <w:r w:rsidRPr="00AF38A8">
        <w:rPr>
          <w:rFonts w:asciiTheme="minorHAnsi" w:eastAsia="Times New Roman" w:hAnsiTheme="minorHAnsi" w:cstheme="minorHAnsi"/>
          <w:bCs/>
          <w:iCs/>
          <w:sz w:val="24"/>
          <w:szCs w:val="24"/>
        </w:rPr>
        <w:t xml:space="preserve"> comma </w:t>
      </w:r>
      <w:r w:rsidR="007E35F7" w:rsidRPr="00AF38A8">
        <w:rPr>
          <w:rFonts w:asciiTheme="minorHAnsi" w:eastAsia="Times New Roman" w:hAnsiTheme="minorHAnsi" w:cstheme="minorHAnsi"/>
          <w:bCs/>
          <w:iCs/>
          <w:sz w:val="24"/>
          <w:szCs w:val="24"/>
        </w:rPr>
        <w:t>6</w:t>
      </w:r>
      <w:r w:rsidRPr="00AF38A8">
        <w:rPr>
          <w:rFonts w:asciiTheme="minorHAnsi" w:eastAsia="Times New Roman" w:hAnsiTheme="minorHAnsi" w:cstheme="minorHAnsi"/>
          <w:bCs/>
          <w:iCs/>
          <w:sz w:val="24"/>
          <w:szCs w:val="24"/>
        </w:rPr>
        <w:t xml:space="preserve"> del Codice</w:t>
      </w:r>
      <w:r w:rsidR="007E35F7" w:rsidRPr="00AF38A8">
        <w:rPr>
          <w:rFonts w:asciiTheme="minorHAnsi" w:eastAsia="Times New Roman" w:hAnsiTheme="minorHAnsi" w:cstheme="minorHAnsi"/>
          <w:bCs/>
          <w:iCs/>
          <w:sz w:val="24"/>
          <w:szCs w:val="24"/>
        </w:rPr>
        <w:t>.</w:t>
      </w:r>
    </w:p>
    <w:p w14:paraId="11733520" w14:textId="77777777" w:rsidR="00DC6F3B" w:rsidRPr="00AF38A8" w:rsidRDefault="00DC6F3B" w:rsidP="00BD1359">
      <w:pPr>
        <w:spacing w:line="276" w:lineRule="auto"/>
        <w:jc w:val="both"/>
        <w:rPr>
          <w:rFonts w:asciiTheme="minorHAnsi" w:eastAsia="Times New Roman" w:hAnsiTheme="minorHAnsi" w:cstheme="minorHAnsi"/>
          <w:bCs/>
          <w:iCs/>
          <w:sz w:val="24"/>
          <w:szCs w:val="24"/>
        </w:rPr>
      </w:pPr>
    </w:p>
    <w:p w14:paraId="548E71CC" w14:textId="0927A9C2" w:rsidR="0076366E"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bookmarkStart w:id="42" w:name="bookmark=id.2bn6wsx" w:colFirst="0" w:colLast="0"/>
      <w:bookmarkStart w:id="43" w:name="_Toc139277024"/>
      <w:bookmarkStart w:id="44" w:name="_Toc140929819"/>
      <w:bookmarkStart w:id="45" w:name="_Toc141027261"/>
      <w:bookmarkEnd w:id="40"/>
      <w:bookmarkEnd w:id="42"/>
      <w:r w:rsidRPr="00AF38A8">
        <w:rPr>
          <w:rFonts w:asciiTheme="minorHAnsi" w:eastAsia="Times New Roman" w:hAnsiTheme="minorHAnsi" w:cstheme="minorHAnsi"/>
          <w:sz w:val="24"/>
          <w:szCs w:val="24"/>
        </w:rPr>
        <w:t>Revisione dei prezzi</w:t>
      </w:r>
      <w:bookmarkEnd w:id="43"/>
      <w:bookmarkEnd w:id="44"/>
      <w:bookmarkEnd w:id="45"/>
      <w:r w:rsidR="00BC0291" w:rsidRPr="00AF38A8">
        <w:rPr>
          <w:rFonts w:asciiTheme="minorHAnsi" w:eastAsia="Times New Roman" w:hAnsiTheme="minorHAnsi" w:cstheme="minorHAnsi"/>
          <w:sz w:val="24"/>
          <w:szCs w:val="24"/>
        </w:rPr>
        <w:t xml:space="preserve"> </w:t>
      </w:r>
    </w:p>
    <w:p w14:paraId="77B07739" w14:textId="29D37BD4" w:rsidR="0076366E" w:rsidRPr="00AF38A8" w:rsidRDefault="00BA3D28" w:rsidP="00BD1359">
      <w:pPr>
        <w:tabs>
          <w:tab w:val="left" w:pos="8789"/>
        </w:tabs>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Qualora nel corso di esecuzione del contratto, al verificarsi di particolari condizioni di natura oggettiva, si determina una variazione, in aumento o in diminuzione, del costo del servizio superiore al cinque per cento, dell’importo complessivo, i prezzi sono aggiornati, nella misura dell’ottanta per cento della variazione, in relazione alle prestazioni da eseguire. Ai fini del calcolo della variazione dei prezzi si utilizza … [</w:t>
      </w:r>
      <w:r w:rsidRPr="00AF38A8">
        <w:rPr>
          <w:rFonts w:asciiTheme="minorHAnsi" w:eastAsia="Times New Roman" w:hAnsiTheme="minorHAnsi" w:cstheme="minorHAnsi"/>
          <w:i/>
          <w:sz w:val="24"/>
          <w:szCs w:val="24"/>
        </w:rPr>
        <w:t>indicare quale indice o quale combinazione di indici tra quelli indicati all’articolo 60, comma 3, lettera b del Codice</w:t>
      </w:r>
      <w:r w:rsidRPr="00AF38A8">
        <w:rPr>
          <w:rFonts w:asciiTheme="minorHAnsi" w:eastAsia="Times New Roman" w:hAnsiTheme="minorHAnsi" w:cstheme="minorHAnsi"/>
          <w:sz w:val="24"/>
          <w:szCs w:val="24"/>
        </w:rPr>
        <w:t>].</w:t>
      </w:r>
    </w:p>
    <w:p w14:paraId="73D3D9F4" w14:textId="77777777" w:rsidR="00FE7A30" w:rsidRPr="00AF38A8" w:rsidRDefault="00FE7A30" w:rsidP="00BD1359">
      <w:pPr>
        <w:tabs>
          <w:tab w:val="left" w:pos="8789"/>
        </w:tabs>
        <w:spacing w:line="276" w:lineRule="auto"/>
        <w:ind w:left="2"/>
        <w:jc w:val="both"/>
        <w:rPr>
          <w:rFonts w:asciiTheme="minorHAnsi" w:eastAsia="Times New Roman" w:hAnsiTheme="minorHAnsi" w:cstheme="minorHAnsi"/>
          <w:sz w:val="24"/>
          <w:szCs w:val="24"/>
        </w:rPr>
      </w:pPr>
    </w:p>
    <w:p w14:paraId="538E1B8D" w14:textId="27DC5574" w:rsidR="0076366E"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bookmarkStart w:id="46" w:name="bookmark=id.3as4poj" w:colFirst="0" w:colLast="0"/>
      <w:bookmarkStart w:id="47" w:name="_Toc139277025"/>
      <w:bookmarkStart w:id="48" w:name="_Toc140929820"/>
      <w:bookmarkStart w:id="49" w:name="_Toc141027262"/>
      <w:bookmarkEnd w:id="46"/>
      <w:r w:rsidRPr="00AF38A8">
        <w:rPr>
          <w:rFonts w:asciiTheme="minorHAnsi" w:eastAsia="Times New Roman" w:hAnsiTheme="minorHAnsi" w:cstheme="minorHAnsi"/>
          <w:sz w:val="24"/>
          <w:szCs w:val="24"/>
        </w:rPr>
        <w:t>Modifica del contratto in fase di esecuzione</w:t>
      </w:r>
      <w:bookmarkEnd w:id="47"/>
      <w:bookmarkEnd w:id="48"/>
      <w:bookmarkEnd w:id="49"/>
    </w:p>
    <w:p w14:paraId="068FED0C" w14:textId="77777777" w:rsidR="0076366E" w:rsidRPr="00BA3D28" w:rsidRDefault="00BA3D28" w:rsidP="00BD1359">
      <w:pPr>
        <w:spacing w:line="276" w:lineRule="auto"/>
        <w:ind w:left="2"/>
        <w:jc w:val="both"/>
        <w:rPr>
          <w:rFonts w:asciiTheme="minorHAnsi" w:eastAsia="Times New Roman" w:hAnsiTheme="minorHAnsi" w:cstheme="minorHAnsi"/>
          <w:sz w:val="24"/>
          <w:szCs w:val="24"/>
        </w:rPr>
      </w:pPr>
      <w:bookmarkStart w:id="50" w:name="_heading=h.2fk6b3p" w:colFirst="0" w:colLast="0"/>
      <w:bookmarkEnd w:id="50"/>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In caso di suddivisione dell’appalto in più lotti specificare, per ciascuno di essi, le seguenti clausole</w:t>
      </w:r>
      <w:r w:rsidRPr="00BA3D28">
        <w:rPr>
          <w:rFonts w:asciiTheme="minorHAnsi" w:eastAsia="Times New Roman" w:hAnsiTheme="minorHAnsi" w:cstheme="minorHAnsi"/>
          <w:sz w:val="24"/>
          <w:szCs w:val="24"/>
        </w:rPr>
        <w:t>]</w:t>
      </w:r>
    </w:p>
    <w:p w14:paraId="58F7554D" w14:textId="314231D5" w:rsidR="0076366E" w:rsidRPr="00AF38A8" w:rsidRDefault="00BA3D28" w:rsidP="00BD1359">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b/>
          <w:sz w:val="24"/>
          <w:szCs w:val="24"/>
        </w:rPr>
        <w:t>Affidamento di servizi analoghi di cui all’articolo 76, comma 6, del Codice</w:t>
      </w:r>
      <w:r w:rsidRPr="00AF38A8">
        <w:rPr>
          <w:rFonts w:asciiTheme="minorHAnsi" w:eastAsia="Times New Roman" w:hAnsiTheme="minorHAnsi" w:cstheme="minorHAnsi"/>
          <w:sz w:val="24"/>
          <w:szCs w:val="24"/>
        </w:rPr>
        <w:t>: entro … [</w:t>
      </w:r>
      <w:r w:rsidRPr="00AF38A8">
        <w:rPr>
          <w:rFonts w:asciiTheme="minorHAnsi" w:eastAsia="Times New Roman" w:hAnsiTheme="minorHAnsi" w:cstheme="minorHAnsi"/>
          <w:i/>
          <w:sz w:val="24"/>
          <w:szCs w:val="24"/>
        </w:rPr>
        <w:t>indicare il termine, che comunque non può superare il triennio successivo alla stipula del contratto originale</w:t>
      </w:r>
      <w:r w:rsidRPr="00AF38A8">
        <w:rPr>
          <w:rFonts w:asciiTheme="minorHAnsi" w:eastAsia="Times New Roman" w:hAnsiTheme="minorHAnsi" w:cstheme="minorHAnsi"/>
          <w:sz w:val="24"/>
          <w:szCs w:val="24"/>
        </w:rPr>
        <w:t>], la stazione appaltante si riserva la facoltà di affidare all’aggiudicatario nuovi servizi consistenti nella ripetizione dei seguenti servizi: … [</w:t>
      </w:r>
      <w:r w:rsidRPr="00AF38A8">
        <w:rPr>
          <w:rFonts w:asciiTheme="minorHAnsi" w:eastAsia="Times New Roman" w:hAnsiTheme="minorHAnsi" w:cstheme="minorHAnsi"/>
          <w:i/>
          <w:sz w:val="24"/>
          <w:szCs w:val="24"/>
        </w:rPr>
        <w:t>precisare le prestazioni oggetto dell’eventuale affidamento e la relativa durata</w:t>
      </w:r>
      <w:r w:rsidRPr="00AF38A8">
        <w:rPr>
          <w:rFonts w:asciiTheme="minorHAnsi" w:eastAsia="Times New Roman" w:hAnsiTheme="minorHAnsi" w:cstheme="minorHAnsi"/>
          <w:sz w:val="24"/>
          <w:szCs w:val="24"/>
        </w:rPr>
        <w:t>], per un importo stimato complessivamente non superiore ad € … [</w:t>
      </w:r>
      <w:r w:rsidRPr="00AF38A8">
        <w:rPr>
          <w:rFonts w:asciiTheme="minorHAnsi" w:eastAsia="Times New Roman" w:hAnsiTheme="minorHAnsi" w:cstheme="minorHAnsi"/>
          <w:i/>
          <w:sz w:val="24"/>
          <w:szCs w:val="24"/>
        </w:rPr>
        <w:t>indicare l’importo</w:t>
      </w:r>
      <w:r w:rsidRPr="00AF38A8">
        <w:rPr>
          <w:rFonts w:asciiTheme="minorHAnsi" w:eastAsia="Times New Roman" w:hAnsiTheme="minorHAnsi" w:cstheme="minorHAnsi"/>
          <w:sz w:val="24"/>
          <w:szCs w:val="24"/>
        </w:rPr>
        <w:t>], al netto di Iva</w:t>
      </w:r>
    </w:p>
    <w:p w14:paraId="5A8590AB" w14:textId="77777777" w:rsidR="0076366E" w:rsidRPr="00BA3D28" w:rsidRDefault="0076366E" w:rsidP="00BD1359">
      <w:pPr>
        <w:spacing w:line="276" w:lineRule="auto"/>
        <w:ind w:left="2"/>
        <w:jc w:val="both"/>
        <w:rPr>
          <w:rFonts w:asciiTheme="minorHAnsi" w:eastAsia="Times New Roman" w:hAnsiTheme="minorHAnsi" w:cstheme="minorHAnsi"/>
          <w:sz w:val="24"/>
          <w:szCs w:val="24"/>
        </w:rPr>
      </w:pPr>
    </w:p>
    <w:p w14:paraId="510BC983" w14:textId="77777777" w:rsidR="0076366E" w:rsidRPr="00E44551" w:rsidRDefault="00BA3D28"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b/>
          <w:i/>
          <w:sz w:val="18"/>
          <w:szCs w:val="18"/>
        </w:rPr>
      </w:pPr>
      <w:r w:rsidRPr="00E44551">
        <w:rPr>
          <w:rFonts w:ascii="Titillium" w:hAnsi="Titillium"/>
          <w:b/>
          <w:i/>
          <w:sz w:val="18"/>
          <w:szCs w:val="18"/>
        </w:rPr>
        <w:t>N.B. il valore dei servizi analoghi deve essere considerato ai fini della determinazione delle soglie di cui dell’art. 14, comma 4 del Codice.</w:t>
      </w:r>
    </w:p>
    <w:p w14:paraId="4C3E74D1" w14:textId="77777777" w:rsidR="0076366E" w:rsidRPr="00BA3D28" w:rsidRDefault="0076366E" w:rsidP="00BD1359">
      <w:pPr>
        <w:spacing w:line="276" w:lineRule="auto"/>
        <w:ind w:left="2"/>
        <w:jc w:val="both"/>
        <w:rPr>
          <w:rFonts w:asciiTheme="minorHAnsi" w:eastAsia="Times New Roman" w:hAnsiTheme="minorHAnsi" w:cstheme="minorHAnsi"/>
          <w:sz w:val="24"/>
          <w:szCs w:val="24"/>
        </w:rPr>
      </w:pPr>
    </w:p>
    <w:p w14:paraId="40F6AC12" w14:textId="77777777" w:rsidR="0076366E" w:rsidRPr="00AF38A8" w:rsidRDefault="00BA3D28" w:rsidP="00BD1359">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b/>
          <w:sz w:val="24"/>
          <w:szCs w:val="24"/>
        </w:rPr>
        <w:t>Variazione fino a concorrenza del quinto dell’importo del contratto</w:t>
      </w:r>
      <w:r w:rsidRPr="00AF38A8">
        <w:rPr>
          <w:rFonts w:asciiTheme="minorHAnsi" w:eastAsia="Times New Roman" w:hAnsiTheme="minorHAnsi" w:cstheme="minorHAnsi"/>
          <w:sz w:val="24"/>
          <w:szCs w:val="24"/>
        </w:rPr>
        <w:t>: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p>
    <w:p w14:paraId="523400A9" w14:textId="04794E7B" w:rsidR="0076366E" w:rsidRPr="00AF38A8" w:rsidRDefault="00BA3D28" w:rsidP="00BD1359">
      <w:pPr>
        <w:spacing w:line="276" w:lineRule="auto"/>
        <w:ind w:left="2"/>
        <w:jc w:val="both"/>
        <w:rPr>
          <w:rFonts w:asciiTheme="minorHAnsi" w:eastAsia="Times New Roman" w:hAnsiTheme="minorHAnsi" w:cstheme="minorHAnsi"/>
          <w:sz w:val="24"/>
          <w:szCs w:val="24"/>
        </w:rPr>
      </w:pPr>
      <w:bookmarkStart w:id="51" w:name="_heading=h.upglbi" w:colFirst="0" w:colLast="0"/>
      <w:bookmarkEnd w:id="51"/>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b/>
          <w:sz w:val="24"/>
          <w:szCs w:val="24"/>
        </w:rPr>
        <w:t>Modifiche del contratto ai sensi dell’articolo 120</w:t>
      </w:r>
      <w:r w:rsidR="005C56C3">
        <w:rPr>
          <w:rFonts w:asciiTheme="minorHAnsi" w:eastAsia="Times New Roman" w:hAnsiTheme="minorHAnsi" w:cstheme="minorHAnsi"/>
          <w:b/>
          <w:sz w:val="24"/>
          <w:szCs w:val="24"/>
        </w:rPr>
        <w:t>,</w:t>
      </w:r>
      <w:r w:rsidRPr="00AF38A8">
        <w:rPr>
          <w:rFonts w:asciiTheme="minorHAnsi" w:eastAsia="Times New Roman" w:hAnsiTheme="minorHAnsi" w:cstheme="minorHAnsi"/>
          <w:b/>
          <w:sz w:val="24"/>
          <w:szCs w:val="24"/>
        </w:rPr>
        <w:t xml:space="preserve"> comma 1</w:t>
      </w:r>
      <w:r w:rsidR="005C56C3">
        <w:rPr>
          <w:rFonts w:asciiTheme="minorHAnsi" w:eastAsia="Times New Roman" w:hAnsiTheme="minorHAnsi" w:cstheme="minorHAnsi"/>
          <w:b/>
          <w:sz w:val="24"/>
          <w:szCs w:val="24"/>
        </w:rPr>
        <w:t>,</w:t>
      </w:r>
      <w:r w:rsidRPr="00AF38A8">
        <w:rPr>
          <w:rFonts w:asciiTheme="minorHAnsi" w:eastAsia="Times New Roman" w:hAnsiTheme="minorHAnsi" w:cstheme="minorHAnsi"/>
          <w:b/>
          <w:sz w:val="24"/>
          <w:szCs w:val="24"/>
        </w:rPr>
        <w:t xml:space="preserve"> lettera a</w:t>
      </w:r>
      <w:r w:rsidRPr="00BA3D28">
        <w:rPr>
          <w:rFonts w:asciiTheme="minorHAnsi" w:eastAsia="Times New Roman" w:hAnsiTheme="minorHAnsi" w:cstheme="minorHAnsi"/>
          <w:b/>
          <w:sz w:val="24"/>
          <w:szCs w:val="24"/>
        </w:rPr>
        <w:t>)</w:t>
      </w:r>
      <w:r w:rsidR="005C56C3">
        <w:rPr>
          <w:rFonts w:asciiTheme="minorHAnsi" w:eastAsia="Times New Roman" w:hAnsiTheme="minorHAnsi" w:cstheme="minorHAnsi"/>
          <w:b/>
          <w:sz w:val="24"/>
          <w:szCs w:val="24"/>
        </w:rPr>
        <w:t>,</w:t>
      </w:r>
      <w:r w:rsidRPr="00AF38A8">
        <w:rPr>
          <w:rFonts w:asciiTheme="minorHAnsi" w:eastAsia="Times New Roman" w:hAnsiTheme="minorHAnsi" w:cstheme="minorHAnsi"/>
          <w:b/>
          <w:sz w:val="24"/>
          <w:szCs w:val="24"/>
        </w:rPr>
        <w:t xml:space="preserve"> del Codice</w:t>
      </w:r>
      <w:r w:rsidRPr="00AF38A8">
        <w:rPr>
          <w:rFonts w:asciiTheme="minorHAnsi" w:eastAsia="Times New Roman" w:hAnsiTheme="minorHAnsi" w:cstheme="minorHAnsi"/>
          <w:sz w:val="24"/>
          <w:szCs w:val="24"/>
        </w:rPr>
        <w:t>: la stazione appaltante si riserva di modificare il contratto in corso di esecuzione, nei seguenti casi: … [</w:t>
      </w:r>
      <w:r w:rsidRPr="00AF38A8">
        <w:rPr>
          <w:rFonts w:asciiTheme="minorHAnsi" w:eastAsia="Times New Roman" w:hAnsiTheme="minorHAnsi" w:cstheme="minorHAnsi"/>
          <w:i/>
          <w:sz w:val="24"/>
          <w:szCs w:val="24"/>
        </w:rPr>
        <w:t>indicare in modo chiaro, preciso ed inequivocabile, la portata e la natura delle modifiche contrattuali, nonché le condizioni alle quali esse possono essere effettuate</w:t>
      </w:r>
      <w:r w:rsidRPr="00AF38A8">
        <w:rPr>
          <w:rFonts w:asciiTheme="minorHAnsi" w:eastAsia="Times New Roman" w:hAnsiTheme="minorHAnsi" w:cstheme="minorHAnsi"/>
          <w:sz w:val="24"/>
          <w:szCs w:val="24"/>
        </w:rPr>
        <w:t>].</w:t>
      </w:r>
    </w:p>
    <w:p w14:paraId="300A303B" w14:textId="0E022C7D" w:rsidR="0076366E" w:rsidRPr="00AF38A8" w:rsidRDefault="00BA3D28" w:rsidP="00BD1359">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b/>
          <w:sz w:val="24"/>
          <w:szCs w:val="24"/>
        </w:rPr>
        <w:t>Clausola di rinegoziazione</w:t>
      </w:r>
      <w:r w:rsidRPr="00AF38A8">
        <w:rPr>
          <w:rFonts w:asciiTheme="minorHAnsi" w:eastAsia="Times New Roman" w:hAnsiTheme="minorHAnsi" w:cstheme="minorHAnsi"/>
          <w:sz w:val="24"/>
          <w:szCs w:val="24"/>
        </w:rPr>
        <w:t>: …. [</w:t>
      </w:r>
      <w:r w:rsidRPr="00AF38A8">
        <w:rPr>
          <w:rFonts w:asciiTheme="minorHAnsi" w:eastAsia="Times New Roman" w:hAnsiTheme="minorHAnsi" w:cstheme="minorHAnsi"/>
          <w:i/>
          <w:sz w:val="24"/>
          <w:szCs w:val="24"/>
        </w:rPr>
        <w:t>ai sensi degli articoli 9 e 120</w:t>
      </w:r>
      <w:r w:rsidR="00DC6F3B">
        <w:rPr>
          <w:rFonts w:asciiTheme="minorHAnsi" w:eastAsia="Times New Roman" w:hAnsiTheme="minorHAnsi" w:cstheme="minorHAnsi"/>
          <w:i/>
          <w:sz w:val="24"/>
          <w:szCs w:val="24"/>
        </w:rPr>
        <w:t>,</w:t>
      </w:r>
      <w:r w:rsidRPr="00AF38A8">
        <w:rPr>
          <w:rFonts w:asciiTheme="minorHAnsi" w:eastAsia="Times New Roman" w:hAnsiTheme="minorHAnsi" w:cstheme="minorHAnsi"/>
          <w:i/>
          <w:sz w:val="24"/>
          <w:szCs w:val="24"/>
        </w:rPr>
        <w:t xml:space="preserve"> comma 8</w:t>
      </w:r>
      <w:r w:rsidR="00DC6F3B">
        <w:rPr>
          <w:rFonts w:asciiTheme="minorHAnsi" w:eastAsia="Times New Roman" w:hAnsiTheme="minorHAnsi" w:cstheme="minorHAnsi"/>
          <w:i/>
          <w:sz w:val="24"/>
          <w:szCs w:val="24"/>
        </w:rPr>
        <w:t>,</w:t>
      </w:r>
      <w:r w:rsidRPr="00AF38A8">
        <w:rPr>
          <w:rFonts w:asciiTheme="minorHAnsi" w:eastAsia="Times New Roman" w:hAnsiTheme="minorHAnsi" w:cstheme="minorHAnsi"/>
          <w:i/>
          <w:sz w:val="24"/>
          <w:szCs w:val="24"/>
        </w:rPr>
        <w:t xml:space="preserve"> del Codice, la stazione appaltante può prevedere clausole di rinegoziazione, specie quando il contratto risulta </w:t>
      </w:r>
      <w:r w:rsidRPr="00AF38A8">
        <w:rPr>
          <w:rFonts w:asciiTheme="minorHAnsi" w:eastAsia="Times New Roman" w:hAnsiTheme="minorHAnsi" w:cstheme="minorHAnsi"/>
          <w:i/>
          <w:sz w:val="24"/>
          <w:szCs w:val="24"/>
        </w:rPr>
        <w:lastRenderedPageBreak/>
        <w:t>particolarmente esposto per la sua durata, per il contesto economico di riferimento o per altre circostanze, al rischio delle interferenze da sopravvenienze</w:t>
      </w:r>
      <w:r w:rsidRPr="00AF38A8">
        <w:rPr>
          <w:rFonts w:asciiTheme="minorHAnsi" w:eastAsia="Times New Roman" w:hAnsiTheme="minorHAnsi" w:cstheme="minorHAnsi"/>
          <w:sz w:val="24"/>
          <w:szCs w:val="24"/>
        </w:rPr>
        <w:t>]</w:t>
      </w:r>
    </w:p>
    <w:p w14:paraId="02DDFDFE" w14:textId="0D0A648E" w:rsidR="0076366E" w:rsidRPr="00AF38A8" w:rsidRDefault="00BA3D28" w:rsidP="00BD1359">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b/>
          <w:bCs/>
          <w:sz w:val="24"/>
          <w:szCs w:val="24"/>
        </w:rPr>
        <w:t>Modifiche del contratto ai sensi dell’articolo 120</w:t>
      </w:r>
      <w:r w:rsidR="00DC6F3B">
        <w:rPr>
          <w:rFonts w:asciiTheme="minorHAnsi" w:eastAsia="Times New Roman" w:hAnsiTheme="minorHAnsi" w:cstheme="minorHAnsi"/>
          <w:b/>
          <w:bCs/>
          <w:sz w:val="24"/>
          <w:szCs w:val="24"/>
        </w:rPr>
        <w:t>,</w:t>
      </w:r>
      <w:r w:rsidRPr="00AF38A8">
        <w:rPr>
          <w:rFonts w:asciiTheme="minorHAnsi" w:eastAsia="Times New Roman" w:hAnsiTheme="minorHAnsi" w:cstheme="minorHAnsi"/>
          <w:b/>
          <w:bCs/>
          <w:sz w:val="24"/>
          <w:szCs w:val="24"/>
        </w:rPr>
        <w:t xml:space="preserve"> comma 1</w:t>
      </w:r>
      <w:r w:rsidR="00DC6F3B">
        <w:rPr>
          <w:rFonts w:asciiTheme="minorHAnsi" w:eastAsia="Times New Roman" w:hAnsiTheme="minorHAnsi" w:cstheme="minorHAnsi"/>
          <w:b/>
          <w:bCs/>
          <w:sz w:val="24"/>
          <w:szCs w:val="24"/>
        </w:rPr>
        <w:t>,</w:t>
      </w:r>
      <w:r w:rsidRPr="00AF38A8">
        <w:rPr>
          <w:rFonts w:asciiTheme="minorHAnsi" w:eastAsia="Times New Roman" w:hAnsiTheme="minorHAnsi" w:cstheme="minorHAnsi"/>
          <w:b/>
          <w:bCs/>
          <w:sz w:val="24"/>
          <w:szCs w:val="24"/>
        </w:rPr>
        <w:t xml:space="preserve"> lettera d)</w:t>
      </w:r>
      <w:r w:rsidR="004B5FF9" w:rsidRPr="00AF38A8">
        <w:rPr>
          <w:rFonts w:asciiTheme="minorHAnsi" w:eastAsia="Times New Roman" w:hAnsiTheme="minorHAnsi" w:cstheme="minorHAnsi"/>
          <w:b/>
          <w:bCs/>
          <w:sz w:val="24"/>
          <w:szCs w:val="24"/>
        </w:rPr>
        <w:t>,</w:t>
      </w:r>
      <w:r w:rsidRPr="00AF38A8">
        <w:rPr>
          <w:rFonts w:asciiTheme="minorHAnsi" w:eastAsia="Times New Roman" w:hAnsiTheme="minorHAnsi" w:cstheme="minorHAnsi"/>
          <w:b/>
          <w:bCs/>
          <w:sz w:val="24"/>
          <w:szCs w:val="24"/>
        </w:rPr>
        <w:t xml:space="preserve"> del Codice</w:t>
      </w:r>
      <w:r w:rsidRPr="00AF38A8">
        <w:rPr>
          <w:rFonts w:asciiTheme="minorHAnsi" w:eastAsia="Times New Roman" w:hAnsiTheme="minorHAnsi" w:cstheme="minorHAnsi"/>
          <w:sz w:val="24"/>
          <w:szCs w:val="24"/>
        </w:rPr>
        <w:t>: la stazione appaltante si riserva, in corso di esecuzione, di sostituire l’aggiudicatario iniziale con un nuovo contraente nei seguenti casi: … [</w:t>
      </w:r>
      <w:r w:rsidRPr="00AF38A8">
        <w:rPr>
          <w:rFonts w:asciiTheme="minorHAnsi" w:eastAsia="Times New Roman" w:hAnsiTheme="minorHAnsi" w:cstheme="minorHAnsi"/>
          <w:i/>
          <w:sz w:val="24"/>
          <w:szCs w:val="24"/>
        </w:rPr>
        <w:t>indicare in modo chiaro, preciso ed inequivocabile, le relative circostanze</w:t>
      </w:r>
      <w:r w:rsidRPr="00AF38A8">
        <w:rPr>
          <w:rFonts w:asciiTheme="minorHAnsi" w:eastAsia="Times New Roman" w:hAnsiTheme="minorHAnsi" w:cstheme="minorHAnsi"/>
          <w:sz w:val="24"/>
          <w:szCs w:val="24"/>
        </w:rPr>
        <w:t>].</w:t>
      </w:r>
    </w:p>
    <w:p w14:paraId="1965B4B2" w14:textId="77777777" w:rsidR="0076366E" w:rsidRPr="00AF38A8" w:rsidRDefault="0076366E" w:rsidP="00BD1359">
      <w:pPr>
        <w:spacing w:line="276" w:lineRule="auto"/>
        <w:ind w:left="2"/>
        <w:jc w:val="both"/>
        <w:rPr>
          <w:rFonts w:asciiTheme="minorHAnsi" w:eastAsia="Times New Roman" w:hAnsiTheme="minorHAnsi" w:cstheme="minorHAnsi"/>
          <w:b/>
          <w:i/>
          <w:sz w:val="24"/>
          <w:szCs w:val="24"/>
        </w:rPr>
      </w:pPr>
    </w:p>
    <w:p w14:paraId="08609692" w14:textId="77777777" w:rsidR="00DC6F3B" w:rsidRDefault="00BA3D28" w:rsidP="00BD1359">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i/>
          <w:sz w:val="24"/>
          <w:szCs w:val="24"/>
        </w:rPr>
        <w:t>[In caso di inserimento di una o più delle suddette clausole facoltative</w:t>
      </w:r>
      <w:r w:rsidRPr="00AF38A8">
        <w:rPr>
          <w:rFonts w:asciiTheme="minorHAnsi" w:eastAsia="Times New Roman" w:hAnsiTheme="minorHAnsi" w:cstheme="minorHAnsi"/>
          <w:sz w:val="24"/>
          <w:szCs w:val="24"/>
        </w:rPr>
        <w:t xml:space="preserve">] </w:t>
      </w:r>
    </w:p>
    <w:p w14:paraId="6DD1C5B7" w14:textId="6D65E917" w:rsidR="0076366E" w:rsidRPr="00AF38A8" w:rsidRDefault="00BA3D28" w:rsidP="00BD1359">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valore globale stimato dell’appalto è pari ad € ... [</w:t>
      </w:r>
      <w:r w:rsidRPr="00AF38A8">
        <w:rPr>
          <w:rFonts w:asciiTheme="minorHAnsi" w:eastAsia="Times New Roman" w:hAnsiTheme="minorHAnsi" w:cstheme="minorHAnsi"/>
          <w:i/>
          <w:sz w:val="24"/>
          <w:szCs w:val="24"/>
        </w:rPr>
        <w:t>indicare il valore, in caso di più lotti indicare la somma di tutti i lotti</w:t>
      </w:r>
      <w:r w:rsidRPr="00AF38A8">
        <w:rPr>
          <w:rFonts w:asciiTheme="minorHAnsi" w:eastAsia="Times New Roman" w:hAnsiTheme="minorHAnsi" w:cstheme="minorHAnsi"/>
          <w:sz w:val="24"/>
          <w:szCs w:val="24"/>
        </w:rPr>
        <w:t xml:space="preserve">], al netto di Iva </w:t>
      </w:r>
      <w:r w:rsidRPr="00DC6F3B">
        <w:rPr>
          <w:rFonts w:asciiTheme="minorHAnsi" w:eastAsia="Times New Roman" w:hAnsiTheme="minorHAnsi" w:cstheme="minorHAnsi"/>
          <w:sz w:val="24"/>
          <w:szCs w:val="24"/>
        </w:rPr>
        <w:t>così suddiviso</w:t>
      </w:r>
      <w:r w:rsidR="00DC6F3B">
        <w:rPr>
          <w:rFonts w:asciiTheme="minorHAnsi" w:eastAsia="Times New Roman" w:hAnsiTheme="minorHAnsi" w:cstheme="minorHAnsi"/>
          <w:i/>
          <w:sz w:val="24"/>
          <w:szCs w:val="24"/>
        </w:rPr>
        <w:t xml:space="preserve"> [i</w:t>
      </w:r>
      <w:r w:rsidRPr="00AF38A8">
        <w:rPr>
          <w:rFonts w:asciiTheme="minorHAnsi" w:eastAsia="Times New Roman" w:hAnsiTheme="minorHAnsi" w:cstheme="minorHAnsi"/>
          <w:i/>
          <w:sz w:val="24"/>
          <w:szCs w:val="24"/>
        </w:rPr>
        <w:t>n caso di più lotti riportare una tabella per ciascun lotto</w:t>
      </w:r>
      <w:r w:rsidRPr="00AF38A8">
        <w:rPr>
          <w:rFonts w:asciiTheme="minorHAnsi" w:eastAsia="Times New Roman" w:hAnsiTheme="minorHAnsi" w:cstheme="minorHAnsi"/>
          <w:sz w:val="24"/>
          <w:szCs w:val="24"/>
        </w:rPr>
        <w:t>]:</w:t>
      </w:r>
    </w:p>
    <w:p w14:paraId="239ADF0A" w14:textId="77777777" w:rsidR="0076366E" w:rsidRPr="00AF38A8" w:rsidRDefault="0076366E" w:rsidP="00BD1359">
      <w:pPr>
        <w:pBdr>
          <w:top w:val="nil"/>
          <w:left w:val="nil"/>
          <w:bottom w:val="nil"/>
          <w:right w:val="nil"/>
          <w:between w:val="nil"/>
        </w:pBdr>
        <w:spacing w:line="276" w:lineRule="auto"/>
        <w:ind w:left="228"/>
        <w:jc w:val="both"/>
        <w:rPr>
          <w:rFonts w:asciiTheme="minorHAnsi" w:eastAsia="Times New Roman" w:hAnsiTheme="minorHAnsi" w:cstheme="minorHAnsi"/>
          <w:sz w:val="24"/>
          <w:szCs w:val="24"/>
        </w:rPr>
      </w:pPr>
    </w:p>
    <w:tbl>
      <w:tblPr>
        <w:tblStyle w:val="affc"/>
        <w:tblW w:w="92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685"/>
      </w:tblGrid>
      <w:tr w:rsidR="00BA3D28" w:rsidRPr="00AF38A8" w14:paraId="014298DF" w14:textId="77777777">
        <w:trPr>
          <w:trHeight w:val="290"/>
          <w:jc w:val="center"/>
        </w:trPr>
        <w:tc>
          <w:tcPr>
            <w:tcW w:w="4531" w:type="dxa"/>
          </w:tcPr>
          <w:p w14:paraId="076B494B" w14:textId="77777777" w:rsidR="0076366E" w:rsidRPr="00AF38A8" w:rsidRDefault="00BA3D28" w:rsidP="00BD1359">
            <w:pPr>
              <w:pBdr>
                <w:top w:val="nil"/>
                <w:left w:val="nil"/>
                <w:bottom w:val="nil"/>
                <w:right w:val="nil"/>
                <w:between w:val="nil"/>
              </w:pBdr>
              <w:spacing w:line="276" w:lineRule="auto"/>
              <w:ind w:left="107"/>
              <w:jc w:val="center"/>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Importo complessivo (A+B)</w:t>
            </w:r>
          </w:p>
        </w:tc>
        <w:tc>
          <w:tcPr>
            <w:tcW w:w="4685" w:type="dxa"/>
          </w:tcPr>
          <w:p w14:paraId="39E780BD" w14:textId="77777777" w:rsidR="0076366E" w:rsidRPr="00AF38A8" w:rsidRDefault="0076366E" w:rsidP="00BD1359">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r>
      <w:tr w:rsidR="00BA3D28" w:rsidRPr="00AF38A8" w14:paraId="40A49097" w14:textId="77777777">
        <w:trPr>
          <w:trHeight w:val="282"/>
          <w:jc w:val="center"/>
        </w:trPr>
        <w:tc>
          <w:tcPr>
            <w:tcW w:w="4531" w:type="dxa"/>
          </w:tcPr>
          <w:p w14:paraId="72EF5E0D" w14:textId="77777777" w:rsidR="0076366E" w:rsidRPr="00AF38A8" w:rsidRDefault="00BA3D28" w:rsidP="00BD1359">
            <w:pPr>
              <w:pBdr>
                <w:top w:val="nil"/>
                <w:left w:val="nil"/>
                <w:bottom w:val="nil"/>
                <w:right w:val="nil"/>
                <w:between w:val="nil"/>
              </w:pBdr>
              <w:spacing w:line="276" w:lineRule="auto"/>
              <w:ind w:left="107"/>
              <w:jc w:val="center"/>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Importo per servizi analoghi</w:t>
            </w:r>
          </w:p>
        </w:tc>
        <w:tc>
          <w:tcPr>
            <w:tcW w:w="4685" w:type="dxa"/>
          </w:tcPr>
          <w:p w14:paraId="63F81E05" w14:textId="77777777" w:rsidR="0076366E" w:rsidRPr="00AF38A8" w:rsidRDefault="0076366E" w:rsidP="00BD1359">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r>
      <w:tr w:rsidR="00BA3D28" w:rsidRPr="00AF38A8" w14:paraId="1DF5C7B6" w14:textId="77777777">
        <w:trPr>
          <w:trHeight w:val="282"/>
          <w:jc w:val="center"/>
        </w:trPr>
        <w:tc>
          <w:tcPr>
            <w:tcW w:w="4531" w:type="dxa"/>
          </w:tcPr>
          <w:p w14:paraId="044BC47B" w14:textId="77777777" w:rsidR="0076366E" w:rsidRPr="00AF38A8" w:rsidRDefault="00BA3D28" w:rsidP="00BD1359">
            <w:pPr>
              <w:pBdr>
                <w:top w:val="nil"/>
                <w:left w:val="nil"/>
                <w:bottom w:val="nil"/>
                <w:right w:val="nil"/>
                <w:between w:val="nil"/>
              </w:pBdr>
              <w:spacing w:line="276" w:lineRule="auto"/>
              <w:ind w:left="107"/>
              <w:jc w:val="center"/>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Importo massimo del quinto d’obbligo, in caso di variazioni in aumento</w:t>
            </w:r>
          </w:p>
        </w:tc>
        <w:tc>
          <w:tcPr>
            <w:tcW w:w="4685" w:type="dxa"/>
          </w:tcPr>
          <w:p w14:paraId="69BD4B11" w14:textId="77777777" w:rsidR="0076366E" w:rsidRPr="00AF38A8" w:rsidRDefault="0076366E" w:rsidP="00BD1359">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r>
      <w:tr w:rsidR="00BA3D28" w:rsidRPr="00AF38A8" w14:paraId="7E35A28E" w14:textId="77777777">
        <w:trPr>
          <w:trHeight w:val="282"/>
          <w:jc w:val="center"/>
        </w:trPr>
        <w:tc>
          <w:tcPr>
            <w:tcW w:w="4531" w:type="dxa"/>
          </w:tcPr>
          <w:p w14:paraId="78FB403E" w14:textId="77777777" w:rsidR="0076366E" w:rsidRPr="00AF38A8" w:rsidRDefault="00BA3D28" w:rsidP="00BD1359">
            <w:pPr>
              <w:pBdr>
                <w:top w:val="nil"/>
                <w:left w:val="nil"/>
                <w:bottom w:val="nil"/>
                <w:right w:val="nil"/>
                <w:between w:val="nil"/>
              </w:pBdr>
              <w:spacing w:line="276" w:lineRule="auto"/>
              <w:ind w:left="107"/>
              <w:jc w:val="center"/>
              <w:rPr>
                <w:rFonts w:asciiTheme="minorHAnsi" w:eastAsia="Times New Roman" w:hAnsiTheme="minorHAnsi" w:cstheme="minorHAnsi"/>
                <w:i/>
                <w:sz w:val="24"/>
                <w:szCs w:val="24"/>
              </w:rPr>
            </w:pP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i/>
                <w:sz w:val="24"/>
                <w:szCs w:val="24"/>
              </w:rPr>
              <w:t>[Importo delle ulteriori opzioni, ove quantificabili]</w:t>
            </w:r>
          </w:p>
        </w:tc>
        <w:tc>
          <w:tcPr>
            <w:tcW w:w="4685" w:type="dxa"/>
          </w:tcPr>
          <w:p w14:paraId="59DC9464" w14:textId="77777777" w:rsidR="0076366E" w:rsidRPr="00AF38A8" w:rsidRDefault="0076366E" w:rsidP="00BD1359">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r>
      <w:tr w:rsidR="00BA3D28" w:rsidRPr="00AF38A8" w14:paraId="3484ACE4" w14:textId="77777777">
        <w:trPr>
          <w:trHeight w:val="291"/>
          <w:jc w:val="center"/>
        </w:trPr>
        <w:tc>
          <w:tcPr>
            <w:tcW w:w="4531" w:type="dxa"/>
          </w:tcPr>
          <w:p w14:paraId="6AAA26CE" w14:textId="77777777" w:rsidR="0076366E" w:rsidRPr="00AF38A8" w:rsidRDefault="00BA3D28" w:rsidP="00BD1359">
            <w:pPr>
              <w:pBdr>
                <w:top w:val="nil"/>
                <w:left w:val="nil"/>
                <w:bottom w:val="nil"/>
                <w:right w:val="nil"/>
                <w:between w:val="nil"/>
              </w:pBdr>
              <w:spacing w:line="276" w:lineRule="auto"/>
              <w:jc w:val="right"/>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Valore globale stimato</w:t>
            </w:r>
          </w:p>
        </w:tc>
        <w:tc>
          <w:tcPr>
            <w:tcW w:w="4685" w:type="dxa"/>
          </w:tcPr>
          <w:p w14:paraId="1C9FAB8B" w14:textId="77777777" w:rsidR="0076366E" w:rsidRPr="00AF38A8" w:rsidRDefault="00BA3D28" w:rsidP="00BD1359">
            <w:pPr>
              <w:pBdr>
                <w:top w:val="nil"/>
                <w:left w:val="nil"/>
                <w:bottom w:val="nil"/>
                <w:right w:val="nil"/>
                <w:between w:val="nil"/>
              </w:pBdr>
              <w:spacing w:line="276" w:lineRule="auto"/>
              <w:ind w:left="147"/>
              <w:jc w:val="center"/>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 [somma di tutti gli importi]</w:t>
            </w:r>
          </w:p>
        </w:tc>
      </w:tr>
    </w:tbl>
    <w:p w14:paraId="16650450" w14:textId="77777777" w:rsidR="0076366E" w:rsidRPr="00BA3D28" w:rsidRDefault="0076366E" w:rsidP="00BD1359">
      <w:pPr>
        <w:spacing w:line="276" w:lineRule="auto"/>
        <w:rPr>
          <w:rFonts w:asciiTheme="minorHAnsi" w:eastAsia="Times New Roman" w:hAnsiTheme="minorHAnsi" w:cstheme="minorHAnsi"/>
          <w:i/>
          <w:sz w:val="24"/>
          <w:szCs w:val="24"/>
        </w:rPr>
      </w:pPr>
      <w:bookmarkStart w:id="52" w:name="_heading=h.3ep43zb" w:colFirst="0" w:colLast="0"/>
      <w:bookmarkStart w:id="53" w:name="_heading=h.49x2ik5" w:colFirst="0" w:colLast="0"/>
      <w:bookmarkEnd w:id="52"/>
      <w:bookmarkEnd w:id="53"/>
    </w:p>
    <w:p w14:paraId="3C632058" w14:textId="77777777" w:rsidR="0076366E" w:rsidRPr="00E44551" w:rsidRDefault="00BA3D28"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E44551">
        <w:rPr>
          <w:rFonts w:ascii="Titillium" w:hAnsi="Titillium"/>
          <w:i/>
          <w:sz w:val="18"/>
          <w:szCs w:val="18"/>
        </w:rPr>
        <w:t>N.B. Art. 14, comma 4. Il calcolo dell’importo stimato di un appalto pubblico di lavori, servizi e forniture è basato sull'importo totale pagabile, al netto dell'imposta sul valore aggiunto (IVA), valutato dalla stazione appaltante. Il calcolo tiene conto dell'importo massimo stimato, ivi compresa qualsiasi forma di eventuali opzioni o rinnovi del contratto esplicitamente stabiliti nei documenti di gara. Quando la stazione appaltante prevede premi o pagamenti per i candidati o gli offerenti, ne tiene conto nel calcolo dell’importo stimato dell'appalto.</w:t>
      </w:r>
    </w:p>
    <w:p w14:paraId="41DC9B0C" w14:textId="77777777" w:rsidR="0076366E" w:rsidRPr="00E44551" w:rsidRDefault="00BA3D28"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b/>
          <w:i/>
          <w:sz w:val="18"/>
          <w:szCs w:val="18"/>
        </w:rPr>
      </w:pPr>
      <w:r w:rsidRPr="00E44551">
        <w:rPr>
          <w:rFonts w:ascii="Titillium" w:hAnsi="Titillium"/>
          <w:i/>
          <w:sz w:val="18"/>
          <w:szCs w:val="18"/>
        </w:rPr>
        <w:t xml:space="preserve">Pertanto, nel calcolare il valore stimato dell’appalto ai fini della determinazione del superamento delle soglie di cui dell’art. 14, comma 4 del Codice, </w:t>
      </w:r>
      <w:r w:rsidRPr="00E44551">
        <w:rPr>
          <w:rFonts w:ascii="Titillium" w:hAnsi="Titillium"/>
          <w:b/>
          <w:i/>
          <w:sz w:val="18"/>
          <w:szCs w:val="18"/>
        </w:rPr>
        <w:t>occorre ricomprendere oltre a tutti i servizi, anche gli oneri previdenziali e assistenziali, esclusi invece dall’importo a base di gara.</w:t>
      </w:r>
    </w:p>
    <w:p w14:paraId="1F114536"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498EB00"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54" w:name="_Toc139277026"/>
      <w:bookmarkStart w:id="55" w:name="_Toc140929821"/>
      <w:bookmarkStart w:id="56" w:name="_Toc141027263"/>
      <w:r w:rsidRPr="00AF38A8">
        <w:rPr>
          <w:rFonts w:asciiTheme="minorHAnsi" w:eastAsia="Times New Roman" w:hAnsiTheme="minorHAnsi" w:cstheme="minorHAnsi"/>
          <w:sz w:val="24"/>
          <w:szCs w:val="24"/>
        </w:rPr>
        <w:t>Soggetti ammessi in forma singola e associata e condizioni di partecipazione</w:t>
      </w:r>
      <w:bookmarkEnd w:id="54"/>
      <w:bookmarkEnd w:id="55"/>
      <w:bookmarkEnd w:id="56"/>
    </w:p>
    <w:p w14:paraId="297C5CA8"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Gli operatori economici possono partecipare alla presente gara in forma singola o associata, secondo le disposizioni dell’art. 66 del Codice, purché in possesso dei requisiti prescritti dai successivi articoli. In particolare sono ammessi a partecipare:</w:t>
      </w:r>
    </w:p>
    <w:p w14:paraId="22FB6409" w14:textId="77777777" w:rsidR="0076366E" w:rsidRPr="00AF38A8" w:rsidRDefault="00BA3D28" w:rsidP="00BD1359">
      <w:pPr>
        <w:numPr>
          <w:ilvl w:val="0"/>
          <w:numId w:val="2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bookmarkStart w:id="57" w:name="_Hlk139557339"/>
      <w:r w:rsidRPr="00AF38A8">
        <w:rPr>
          <w:rFonts w:asciiTheme="minorHAnsi" w:eastAsia="Times New Roman" w:hAnsiTheme="minorHAnsi" w:cstheme="minorHAnsi"/>
          <w:sz w:val="24"/>
          <w:szCs w:val="24"/>
        </w:rPr>
        <w:t>liberi professionisti singoli od associati nelle forme riconosciute dal vigente quadro normativo;</w:t>
      </w:r>
    </w:p>
    <w:p w14:paraId="2139804B" w14:textId="77777777" w:rsidR="0076366E" w:rsidRPr="00AF38A8" w:rsidRDefault="00BA3D28" w:rsidP="00BD1359">
      <w:pPr>
        <w:numPr>
          <w:ilvl w:val="0"/>
          <w:numId w:val="2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società tra professionisti;</w:t>
      </w:r>
    </w:p>
    <w:p w14:paraId="35FB7A9D" w14:textId="77777777" w:rsidR="0076366E" w:rsidRPr="00AF38A8" w:rsidRDefault="00BA3D28" w:rsidP="00BD1359">
      <w:pPr>
        <w:numPr>
          <w:ilvl w:val="0"/>
          <w:numId w:val="2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società di ingegneria;</w:t>
      </w:r>
    </w:p>
    <w:p w14:paraId="0B9BA9D0" w14:textId="77777777" w:rsidR="0076366E" w:rsidRPr="00AF38A8" w:rsidRDefault="00BA3D28" w:rsidP="00BD1359">
      <w:pPr>
        <w:numPr>
          <w:ilvl w:val="0"/>
          <w:numId w:val="2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14:paraId="6DCE3CB1" w14:textId="77777777" w:rsidR="0076366E" w:rsidRPr="00AF38A8" w:rsidRDefault="00BA3D28" w:rsidP="00BD1359">
      <w:pPr>
        <w:numPr>
          <w:ilvl w:val="0"/>
          <w:numId w:val="2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altri soggetti abilitati in forza del diritto nazionale a offrire sul mercato servizi di ingegneria e di architettura, nel rispetto dei principi di non discriminazione e par condicio fra i diversi soggetti abilitati; </w:t>
      </w:r>
    </w:p>
    <w:p w14:paraId="1BFB51FB" w14:textId="77777777" w:rsidR="0076366E" w:rsidRPr="00AF38A8" w:rsidRDefault="00BA3D28" w:rsidP="00BD1359">
      <w:pPr>
        <w:numPr>
          <w:ilvl w:val="0"/>
          <w:numId w:val="2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raggruppamenti temporanei o consorzi ordinari costituiti dai soggetti di cui alle lettere da a) ad e) del presente elenco;</w:t>
      </w:r>
    </w:p>
    <w:p w14:paraId="1384D172" w14:textId="77777777" w:rsidR="0076366E" w:rsidRPr="00AF38A8" w:rsidRDefault="00BA3D28" w:rsidP="00BD1359">
      <w:pPr>
        <w:numPr>
          <w:ilvl w:val="0"/>
          <w:numId w:val="2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consorzi stabili di società di professionisti, di società di ingegneria, anche in forma mista (in seguito anche consorzi stabili di società) e i GEIE;</w:t>
      </w:r>
    </w:p>
    <w:p w14:paraId="6963ABEC" w14:textId="54E3B1E1" w:rsidR="0076366E" w:rsidRPr="00AF38A8" w:rsidRDefault="00BA3D28" w:rsidP="00BD1359">
      <w:pPr>
        <w:numPr>
          <w:ilvl w:val="0"/>
          <w:numId w:val="2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consorzi stabili professionali ai sensi dell’art. 12 della </w:t>
      </w:r>
      <w:r w:rsidR="00DC6F3B">
        <w:rPr>
          <w:rFonts w:asciiTheme="minorHAnsi" w:eastAsia="Times New Roman" w:hAnsiTheme="minorHAnsi" w:cstheme="minorHAnsi"/>
          <w:sz w:val="24"/>
          <w:szCs w:val="24"/>
        </w:rPr>
        <w:t>legge</w:t>
      </w:r>
      <w:r w:rsidR="00DC6F3B" w:rsidRPr="00DC6F3B">
        <w:rPr>
          <w:rFonts w:asciiTheme="minorHAnsi" w:eastAsia="Times New Roman" w:hAnsiTheme="minorHAnsi" w:cstheme="minorHAnsi"/>
          <w:sz w:val="24"/>
          <w:szCs w:val="24"/>
        </w:rPr>
        <w:t xml:space="preserve"> 22 maggio 2017, n. 81</w:t>
      </w:r>
      <w:r w:rsidRPr="00AF38A8">
        <w:rPr>
          <w:rFonts w:asciiTheme="minorHAnsi" w:eastAsia="Times New Roman" w:hAnsiTheme="minorHAnsi" w:cstheme="minorHAnsi"/>
          <w:sz w:val="24"/>
          <w:szCs w:val="24"/>
        </w:rPr>
        <w:t>;</w:t>
      </w:r>
    </w:p>
    <w:p w14:paraId="2FC76EB4" w14:textId="77777777" w:rsidR="0076366E" w:rsidRPr="00AF38A8" w:rsidRDefault="00BA3D28" w:rsidP="00BD1359">
      <w:pPr>
        <w:numPr>
          <w:ilvl w:val="0"/>
          <w:numId w:val="2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aggregazioni tra gli operatori economici di cui ai punti a), b) c) e d) aderenti al contratto di rete (rete di imprese, rete di professionisti o rete mista ai sensi dell’art. 12 della l. 81/2017) ai quali si applicano le disposizioni di cui all’articolo 68 in quanto compatibili.</w:t>
      </w:r>
    </w:p>
    <w:bookmarkEnd w:id="57"/>
    <w:p w14:paraId="10EEAD6F"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F803E16"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58" w:name="_Hlk139557392"/>
      <w:r w:rsidRPr="00AF38A8">
        <w:rPr>
          <w:rFonts w:asciiTheme="minorHAnsi" w:eastAsia="Times New Roman" w:hAnsiTheme="minorHAnsi" w:cstheme="minorHAnsi"/>
          <w:sz w:val="24"/>
          <w:szCs w:val="24"/>
        </w:rPr>
        <w:t>È ammessa la partecipazione dei soggetti di cui alla precedente lett. f) anche se non ancora costituiti.</w:t>
      </w:r>
    </w:p>
    <w:bookmarkEnd w:id="58"/>
    <w:p w14:paraId="65DAA5C3"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soggetti costituiti in forma associata si applicano le disposizioni di cui agli articoli 67 e 68 del Codice.</w:t>
      </w:r>
    </w:p>
    <w:p w14:paraId="10160688"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consorzi stabili che intendono eseguire le prestazioni tramite i propri consorziati sono tenuti ad indicare per quali consorziati il consorzio concorre.</w:t>
      </w:r>
    </w:p>
    <w:p w14:paraId="380536F8"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3B1A9E56" w14:textId="07406D01"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00081DBD">
        <w:rPr>
          <w:rFonts w:asciiTheme="minorHAnsi" w:eastAsia="Times New Roman" w:hAnsiTheme="minorHAnsi" w:cstheme="minorHAnsi"/>
          <w:b/>
          <w:i/>
          <w:sz w:val="24"/>
          <w:szCs w:val="24"/>
        </w:rPr>
        <w:t>f</w:t>
      </w:r>
      <w:r w:rsidRPr="00AF38A8">
        <w:rPr>
          <w:rFonts w:asciiTheme="minorHAnsi" w:eastAsia="Times New Roman" w:hAnsiTheme="minorHAnsi" w:cstheme="minorHAnsi"/>
          <w:b/>
          <w:i/>
          <w:sz w:val="24"/>
          <w:szCs w:val="24"/>
        </w:rPr>
        <w:t>acoltativo</w:t>
      </w:r>
      <w:r w:rsidRPr="00AF38A8">
        <w:rPr>
          <w:rFonts w:asciiTheme="minorHAnsi" w:eastAsia="Times New Roman" w:hAnsiTheme="minorHAnsi" w:cstheme="minorHAnsi"/>
          <w:sz w:val="24"/>
          <w:szCs w:val="24"/>
        </w:rPr>
        <w:t xml:space="preserve">] Possono essere esclusi dalla gara, </w:t>
      </w:r>
      <w:r w:rsidRPr="00081DBD">
        <w:rPr>
          <w:rFonts w:asciiTheme="minorHAnsi" w:eastAsia="Times New Roman" w:hAnsiTheme="minorHAnsi" w:cstheme="minorHAnsi"/>
          <w:sz w:val="24"/>
          <w:szCs w:val="24"/>
        </w:rPr>
        <w:t>previo contraddittorio,</w:t>
      </w:r>
      <w:r w:rsidRPr="00AF38A8">
        <w:rPr>
          <w:rFonts w:asciiTheme="minorHAnsi" w:eastAsia="Times New Roman" w:hAnsiTheme="minorHAnsi" w:cstheme="minorHAnsi"/>
          <w:sz w:val="24"/>
          <w:szCs w:val="24"/>
        </w:rPr>
        <w:t xml:space="preserve"> i raggruppamenti temporanei costituiti da due o più operatori economici che singolarmente hanno i requisiti per partecipare alla gara. Tale facoltà non opera nel caso in cui i raggruppamenti sono costituiti da imprese controllate e/o collegate ai sensi dell’articolo 2359 del Codice civile. </w:t>
      </w:r>
    </w:p>
    <w:p w14:paraId="073925B5"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59" w:name="_heading=h.4du1wux" w:colFirst="0" w:colLast="0"/>
      <w:bookmarkEnd w:id="59"/>
      <w:r w:rsidRPr="00AF38A8">
        <w:rPr>
          <w:rFonts w:asciiTheme="minorHAnsi" w:eastAsia="Times New Roman" w:hAnsiTheme="minorHAnsi" w:cstheme="minorHAnsi"/>
          <w:sz w:val="24"/>
          <w:szCs w:val="24"/>
        </w:rPr>
        <w:t>Il concorrente che partecipa alla gara [</w:t>
      </w:r>
      <w:r w:rsidRPr="00AF38A8">
        <w:rPr>
          <w:rFonts w:asciiTheme="minorHAnsi" w:eastAsia="Times New Roman" w:hAnsiTheme="minorHAnsi" w:cstheme="minorHAnsi"/>
          <w:i/>
          <w:sz w:val="24"/>
          <w:szCs w:val="24"/>
        </w:rPr>
        <w:t>in caso di suddivisione dell’appalto in lotti distinti sostituire “gara” con “singolo lotto”</w:t>
      </w:r>
      <w:r w:rsidRPr="00AF38A8">
        <w:rPr>
          <w:rFonts w:asciiTheme="minorHAnsi" w:eastAsia="Times New Roman" w:hAnsiTheme="minorHAnsi" w:cstheme="minorHAnsi"/>
          <w:sz w:val="24"/>
          <w:szCs w:val="24"/>
        </w:rPr>
        <w:t>] in una delle forme di seguito indicate è escluso nel caso in cui la stazione appaltante accerti la sussistenza di rilevanti indizi tali da far ritenere che le offerte degli operatori economici siano imputabili ad un unico centro decisionale a cagione di accordi intercorsi con altri operatori economici partecipanti alla stessa gara:</w:t>
      </w:r>
    </w:p>
    <w:p w14:paraId="366849C6" w14:textId="05D0795E" w:rsidR="0076366E" w:rsidRPr="00AF38A8" w:rsidRDefault="00BA3D28" w:rsidP="00BD135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partecipazione in più di un raggruppamento temporaneo o consorzio ordinario di concorrenti o aggregazione di operatori economici aderenti al contratto di rete (nel prosieguo, aggregazione di retisti);</w:t>
      </w:r>
    </w:p>
    <w:p w14:paraId="59E31389" w14:textId="29CCC778" w:rsidR="0076366E" w:rsidRPr="00AF38A8" w:rsidRDefault="00BA3D28" w:rsidP="00BD135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partecipazione sia in raggruppamento o consorzio ordinario di concorrenti sia in forma individuale;</w:t>
      </w:r>
    </w:p>
    <w:p w14:paraId="77714A1B" w14:textId="77777777" w:rsidR="0076366E" w:rsidRPr="00AF38A8" w:rsidRDefault="00BA3D28" w:rsidP="00BD135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partecipazione sia in aggregazione di retisti sia in forma individuale. Tale esclusione non si applica alle retiste non partecipanti all’aggregazione, le quali possono presentare offerta, per la medesima gara [in caso di suddivisione dell’appalto in lotti distinti sostituire “alla gara” con “al singolo lotto”], in forma singola o associata;</w:t>
      </w:r>
    </w:p>
    <w:p w14:paraId="5034D7C2" w14:textId="77777777" w:rsidR="0076366E" w:rsidRPr="00AF38A8" w:rsidRDefault="00BA3D28" w:rsidP="00BD135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partecipazione di un consorzio che ha designato un consorziato esecutore il quale, a sua volta, partecipa in una qualsiasi altra forma.</w:t>
      </w:r>
    </w:p>
    <w:p w14:paraId="16460153"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venga accertato quanto sopra, si provvede ad informare gli operatori economici coinvolti i quali possono, entro … giorni [</w:t>
      </w:r>
      <w:r w:rsidRPr="00AF38A8">
        <w:rPr>
          <w:rFonts w:asciiTheme="minorHAnsi" w:eastAsia="Times New Roman" w:hAnsiTheme="minorHAnsi" w:cstheme="minorHAnsi"/>
          <w:i/>
          <w:sz w:val="24"/>
          <w:szCs w:val="24"/>
        </w:rPr>
        <w:t>indicare i giorni che verranno assegnati per la risposta</w:t>
      </w:r>
      <w:r w:rsidRPr="00AF38A8">
        <w:rPr>
          <w:rFonts w:asciiTheme="minorHAnsi" w:eastAsia="Times New Roman" w:hAnsiTheme="minorHAnsi" w:cstheme="minorHAnsi"/>
          <w:sz w:val="24"/>
          <w:szCs w:val="24"/>
        </w:rPr>
        <w:t>], dimostrare che la circostanza non ha influito sulla gara, né è idonea a incidere sulla capacità di rispettare gli obblighi contrattuali.</w:t>
      </w:r>
    </w:p>
    <w:p w14:paraId="16AD8A72"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highlight w:val="green"/>
        </w:rPr>
      </w:pPr>
    </w:p>
    <w:p w14:paraId="6C1993E7" w14:textId="77777777" w:rsidR="00081DBD" w:rsidRDefault="00D11CAB"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w:t>
      </w:r>
      <w:r w:rsidR="00BA3D28" w:rsidRPr="00081DBD">
        <w:rPr>
          <w:rFonts w:asciiTheme="minorHAnsi" w:eastAsia="Times New Roman" w:hAnsiTheme="minorHAnsi" w:cstheme="minorHAnsi"/>
          <w:b/>
          <w:i/>
          <w:sz w:val="24"/>
          <w:szCs w:val="24"/>
        </w:rPr>
        <w:t>Facoltativo, in caso di suddivisione in lotti</w:t>
      </w:r>
      <w:r w:rsidR="00BA3D28" w:rsidRPr="00AF38A8">
        <w:rPr>
          <w:rFonts w:asciiTheme="minorHAnsi" w:eastAsia="Times New Roman" w:hAnsiTheme="minorHAnsi" w:cstheme="minorHAnsi"/>
          <w:b/>
          <w:sz w:val="24"/>
          <w:szCs w:val="24"/>
        </w:rPr>
        <w:t xml:space="preserve">] </w:t>
      </w:r>
    </w:p>
    <w:p w14:paraId="1AA50139" w14:textId="4DA272C3"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lastRenderedPageBreak/>
        <w:t>Limitazione dell’aggiudicazione ad un numero massimo di lotti</w:t>
      </w:r>
    </w:p>
    <w:p w14:paraId="472C97F6"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un concorrente risulti primo in graduatoria per più lotti, al medesimo potranno essere aggiudicati fino ad un massimo di n. ... [</w:t>
      </w:r>
      <w:r w:rsidRPr="00AF38A8">
        <w:rPr>
          <w:rFonts w:asciiTheme="minorHAnsi" w:eastAsia="Times New Roman" w:hAnsiTheme="minorHAnsi" w:cstheme="minorHAnsi"/>
          <w:i/>
          <w:sz w:val="24"/>
          <w:szCs w:val="24"/>
        </w:rPr>
        <w:t>inserire numero massimo di lotti aggiudicabili</w:t>
      </w:r>
      <w:r w:rsidRPr="00AF38A8">
        <w:rPr>
          <w:rFonts w:asciiTheme="minorHAnsi" w:eastAsia="Times New Roman" w:hAnsiTheme="minorHAnsi" w:cstheme="minorHAnsi"/>
          <w:sz w:val="24"/>
          <w:szCs w:val="24"/>
        </w:rPr>
        <w:t>], lotti che saranno individuati sulla base del criterio … [</w:t>
      </w:r>
      <w:r w:rsidRPr="00AF38A8">
        <w:rPr>
          <w:rFonts w:asciiTheme="minorHAnsi" w:eastAsia="Times New Roman" w:hAnsiTheme="minorHAnsi" w:cstheme="minorHAnsi"/>
          <w:i/>
          <w:sz w:val="24"/>
          <w:szCs w:val="24"/>
        </w:rPr>
        <w:t>la stazione appaltante definisce il criterio, che deve essere oggettivo e non discriminatorio, per determinare quali lotti saranno aggiudicati</w:t>
      </w:r>
      <w:r w:rsidRPr="00AF38A8">
        <w:rPr>
          <w:rFonts w:asciiTheme="minorHAnsi" w:eastAsia="Times New Roman" w:hAnsiTheme="minorHAnsi" w:cstheme="minorHAnsi"/>
          <w:sz w:val="24"/>
          <w:szCs w:val="24"/>
        </w:rPr>
        <w:t>].</w:t>
      </w:r>
    </w:p>
    <w:p w14:paraId="53A94E7A" w14:textId="45E7B9DB"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Tale limitazione è stata imposta perché …. [</w:t>
      </w:r>
      <w:r w:rsidRPr="00AF38A8">
        <w:rPr>
          <w:rFonts w:asciiTheme="minorHAnsi" w:eastAsia="Times New Roman" w:hAnsiTheme="minorHAnsi" w:cstheme="minorHAnsi"/>
          <w:i/>
          <w:sz w:val="24"/>
          <w:szCs w:val="24"/>
        </w:rPr>
        <w:t>Indicare le ragioni della scelta ai sensi dell’articolo 58 del Codice</w:t>
      </w:r>
      <w:r w:rsidRPr="00AF38A8">
        <w:rPr>
          <w:rFonts w:asciiTheme="minorHAnsi" w:eastAsia="Times New Roman" w:hAnsiTheme="minorHAnsi" w:cstheme="minorHAnsi"/>
          <w:sz w:val="24"/>
          <w:szCs w:val="24"/>
        </w:rPr>
        <w:t>]</w:t>
      </w:r>
    </w:p>
    <w:p w14:paraId="7BFA2198" w14:textId="77777777" w:rsidR="00081DBD"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w:t>
      </w:r>
      <w:r w:rsidRPr="00081DBD">
        <w:rPr>
          <w:rFonts w:asciiTheme="minorHAnsi" w:eastAsia="Times New Roman" w:hAnsiTheme="minorHAnsi" w:cstheme="minorHAnsi"/>
          <w:b/>
          <w:i/>
          <w:sz w:val="24"/>
          <w:szCs w:val="24"/>
        </w:rPr>
        <w:t>Facoltativo</w:t>
      </w:r>
      <w:r w:rsidRPr="00AF38A8">
        <w:rPr>
          <w:rFonts w:asciiTheme="minorHAnsi" w:eastAsia="Times New Roman" w:hAnsiTheme="minorHAnsi" w:cstheme="minorHAnsi"/>
          <w:b/>
          <w:sz w:val="24"/>
          <w:szCs w:val="24"/>
        </w:rPr>
        <w:t xml:space="preserve">] </w:t>
      </w:r>
    </w:p>
    <w:p w14:paraId="213482CD" w14:textId="2C4C08CB"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Limitazione della partecipazione ad un numero massimo di lotti</w:t>
      </w:r>
    </w:p>
    <w:p w14:paraId="768ABC33"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Ciascun concorrente può presentare offerta per un numero massimo di … [</w:t>
      </w:r>
      <w:r w:rsidRPr="00AF38A8">
        <w:rPr>
          <w:rFonts w:asciiTheme="minorHAnsi" w:eastAsia="Times New Roman" w:hAnsiTheme="minorHAnsi" w:cstheme="minorHAnsi"/>
          <w:i/>
          <w:sz w:val="24"/>
          <w:szCs w:val="24"/>
        </w:rPr>
        <w:t>inserire il numero massimo di lotti a cui si può partecipare</w:t>
      </w:r>
      <w:r w:rsidRPr="00AF38A8">
        <w:rPr>
          <w:rFonts w:asciiTheme="minorHAnsi" w:eastAsia="Times New Roman" w:hAnsiTheme="minorHAnsi" w:cstheme="minorHAnsi"/>
          <w:sz w:val="24"/>
          <w:szCs w:val="24"/>
        </w:rPr>
        <w:t>] lotti. In caso di partecipazione ad un numero maggiore di lotti rispetto a quanto consentito, la domanda si considera presentata per … [</w:t>
      </w:r>
      <w:r w:rsidRPr="00AF38A8">
        <w:rPr>
          <w:rFonts w:asciiTheme="minorHAnsi" w:eastAsia="Times New Roman" w:hAnsiTheme="minorHAnsi" w:cstheme="minorHAnsi"/>
          <w:i/>
          <w:sz w:val="24"/>
          <w:szCs w:val="24"/>
        </w:rPr>
        <w:t>indicare il criterio per la individuazione dei lotti ai quali riferire la domanda di partecipazione, per esempio i lotti di maggiore valore economico</w:t>
      </w:r>
      <w:r w:rsidRPr="00AF38A8">
        <w:rPr>
          <w:rFonts w:asciiTheme="minorHAnsi" w:eastAsia="Times New Roman" w:hAnsiTheme="minorHAnsi" w:cstheme="minorHAnsi"/>
          <w:sz w:val="24"/>
          <w:szCs w:val="24"/>
        </w:rPr>
        <w:t>].</w:t>
      </w:r>
    </w:p>
    <w:p w14:paraId="44331945" w14:textId="741A4091"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Tale limitazione è stata imposta perché …. [</w:t>
      </w:r>
      <w:r w:rsidRPr="00AF38A8">
        <w:rPr>
          <w:rFonts w:asciiTheme="minorHAnsi" w:eastAsia="Times New Roman" w:hAnsiTheme="minorHAnsi" w:cstheme="minorHAnsi"/>
          <w:i/>
          <w:sz w:val="24"/>
          <w:szCs w:val="24"/>
        </w:rPr>
        <w:t>Indicare le ragioni della scelta ai sensi dell’articolo 58 del Codice</w:t>
      </w:r>
      <w:r w:rsidRPr="00AF38A8">
        <w:rPr>
          <w:rFonts w:asciiTheme="minorHAnsi" w:eastAsia="Times New Roman" w:hAnsiTheme="minorHAnsi" w:cstheme="minorHAnsi"/>
          <w:sz w:val="24"/>
          <w:szCs w:val="24"/>
        </w:rPr>
        <w:t>]</w:t>
      </w:r>
    </w:p>
    <w:p w14:paraId="4F0AD591" w14:textId="4AC70CCB"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fini del conteggio del numero massimo dei lotti che possono essere aggiudicati/a cui si può partecipare, si tiene conto …. [</w:t>
      </w:r>
      <w:r w:rsidRPr="00AF38A8">
        <w:rPr>
          <w:rFonts w:asciiTheme="minorHAnsi" w:eastAsia="Times New Roman" w:hAnsiTheme="minorHAnsi" w:cstheme="minorHAnsi"/>
          <w:i/>
          <w:sz w:val="24"/>
          <w:szCs w:val="24"/>
        </w:rPr>
        <w:t>la stazione appaltante individua quando gli operatori economici che partecipano in diverse forme possano essere considerati “il medesimo concorrente” (ad esempio con riferimento alle gare ad oggetto plurimo o unitario) e specifica se ha deciso di limitare la partecipazione di più concorrenti che versino in situazioni di controllo o collegamento ai sensi dell’articolo 2359 del Codice civile</w:t>
      </w:r>
      <w:r w:rsidRPr="00AF38A8">
        <w:rPr>
          <w:rFonts w:asciiTheme="minorHAnsi" w:eastAsia="Times New Roman" w:hAnsiTheme="minorHAnsi" w:cstheme="minorHAnsi"/>
          <w:sz w:val="24"/>
          <w:szCs w:val="24"/>
        </w:rPr>
        <w:t>]</w:t>
      </w:r>
    </w:p>
    <w:p w14:paraId="40A2EED4" w14:textId="77777777" w:rsidR="00081DBD"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sz w:val="24"/>
          <w:szCs w:val="24"/>
        </w:rPr>
        <w:t>[</w:t>
      </w:r>
      <w:r w:rsidRPr="00081DBD">
        <w:rPr>
          <w:rFonts w:asciiTheme="minorHAnsi" w:eastAsia="Times New Roman" w:hAnsiTheme="minorHAnsi" w:cstheme="minorHAnsi"/>
          <w:b/>
          <w:i/>
          <w:sz w:val="24"/>
          <w:szCs w:val="24"/>
        </w:rPr>
        <w:t>Facoltativo</w:t>
      </w:r>
      <w:r w:rsidRPr="00AF38A8">
        <w:rPr>
          <w:rFonts w:asciiTheme="minorHAnsi" w:eastAsia="Times New Roman" w:hAnsiTheme="minorHAnsi" w:cstheme="minorHAnsi"/>
          <w:b/>
          <w:sz w:val="24"/>
          <w:szCs w:val="24"/>
        </w:rPr>
        <w:t xml:space="preserve">] </w:t>
      </w:r>
    </w:p>
    <w:p w14:paraId="6DAFFA75" w14:textId="65D1E74A"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Associazione di lotti al medesimo offerente</w:t>
      </w:r>
    </w:p>
    <w:p w14:paraId="13285218"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stazione appaltante si riserva la facoltà di aggiudicare in forma associata i lotti n. … [</w:t>
      </w:r>
      <w:r w:rsidRPr="00AF38A8">
        <w:rPr>
          <w:rFonts w:asciiTheme="minorHAnsi" w:eastAsia="Times New Roman" w:hAnsiTheme="minorHAnsi" w:cstheme="minorHAnsi"/>
          <w:i/>
          <w:sz w:val="24"/>
          <w:szCs w:val="24"/>
        </w:rPr>
        <w:t>indicare i lotti specifici</w:t>
      </w:r>
      <w:r w:rsidRPr="00AF38A8">
        <w:rPr>
          <w:rFonts w:asciiTheme="minorHAnsi" w:eastAsia="Times New Roman" w:hAnsiTheme="minorHAnsi" w:cstheme="minorHAnsi"/>
          <w:sz w:val="24"/>
          <w:szCs w:val="24"/>
        </w:rPr>
        <w:t>] al medesimo offerente. La modalità mediante cui effettuare la valutazione comparativa tra le offerte sui singoli lotti e le offerte sulle associazioni di lotti è la seguente: … [</w:t>
      </w:r>
      <w:r w:rsidRPr="00AF38A8">
        <w:rPr>
          <w:rFonts w:asciiTheme="minorHAnsi" w:eastAsia="Times New Roman" w:hAnsiTheme="minorHAnsi" w:cstheme="minorHAnsi"/>
          <w:i/>
          <w:sz w:val="24"/>
          <w:szCs w:val="24"/>
        </w:rPr>
        <w:t>indicare il criterio mediante cui effettuare la valutazione comparativa]</w:t>
      </w:r>
      <w:r w:rsidRPr="00AF38A8">
        <w:rPr>
          <w:rFonts w:asciiTheme="minorHAnsi" w:eastAsia="Times New Roman" w:hAnsiTheme="minorHAnsi" w:cstheme="minorHAnsi"/>
          <w:sz w:val="24"/>
          <w:szCs w:val="24"/>
        </w:rPr>
        <w:t xml:space="preserve">. </w:t>
      </w:r>
    </w:p>
    <w:p w14:paraId="076B4492" w14:textId="77777777" w:rsidR="007A3DAF" w:rsidRPr="00AF38A8" w:rsidRDefault="007A3DAF" w:rsidP="00BD1359">
      <w:pPr>
        <w:pBdr>
          <w:top w:val="nil"/>
          <w:left w:val="nil"/>
          <w:bottom w:val="nil"/>
          <w:right w:val="nil"/>
          <w:between w:val="nil"/>
        </w:pBdr>
        <w:spacing w:line="276" w:lineRule="auto"/>
        <w:jc w:val="both"/>
        <w:rPr>
          <w:rFonts w:asciiTheme="minorHAnsi" w:eastAsia="Times New Roman" w:hAnsiTheme="minorHAnsi" w:cstheme="minorHAnsi"/>
          <w:sz w:val="24"/>
          <w:szCs w:val="24"/>
          <w:highlight w:val="green"/>
        </w:rPr>
      </w:pPr>
    </w:p>
    <w:p w14:paraId="57E4D48F" w14:textId="1658D23E"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665D42">
        <w:rPr>
          <w:rFonts w:asciiTheme="minorHAnsi" w:eastAsia="Times New Roman" w:hAnsiTheme="minorHAnsi" w:cstheme="minorHAnsi"/>
          <w:sz w:val="24"/>
          <w:szCs w:val="24"/>
        </w:rPr>
        <w:t>Le aggregazioni di retisti di cui all’articolo 65, comma 2</w:t>
      </w:r>
      <w:r w:rsidR="005C56C3" w:rsidRPr="00665D42">
        <w:rPr>
          <w:rFonts w:asciiTheme="minorHAnsi" w:eastAsia="Times New Roman" w:hAnsiTheme="minorHAnsi" w:cstheme="minorHAnsi"/>
          <w:sz w:val="24"/>
          <w:szCs w:val="24"/>
        </w:rPr>
        <w:t>,</w:t>
      </w:r>
      <w:r w:rsidRPr="00665D42">
        <w:rPr>
          <w:rFonts w:asciiTheme="minorHAnsi" w:eastAsia="Times New Roman" w:hAnsiTheme="minorHAnsi" w:cstheme="minorHAnsi"/>
          <w:sz w:val="24"/>
          <w:szCs w:val="24"/>
        </w:rPr>
        <w:t xml:space="preserve"> lettera g)</w:t>
      </w:r>
      <w:r w:rsidR="005C56C3" w:rsidRPr="00665D42">
        <w:rPr>
          <w:rFonts w:asciiTheme="minorHAnsi" w:eastAsia="Times New Roman" w:hAnsiTheme="minorHAnsi" w:cstheme="minorHAnsi"/>
          <w:sz w:val="24"/>
          <w:szCs w:val="24"/>
        </w:rPr>
        <w:t>,</w:t>
      </w:r>
      <w:r w:rsidRPr="00665D42">
        <w:rPr>
          <w:rFonts w:asciiTheme="minorHAnsi" w:eastAsia="Times New Roman" w:hAnsiTheme="minorHAnsi" w:cstheme="minorHAnsi"/>
          <w:sz w:val="24"/>
          <w:szCs w:val="24"/>
        </w:rPr>
        <w:t xml:space="preserve"> del Codice, rispettano la disciplina</w:t>
      </w:r>
      <w:r w:rsidRPr="00AF38A8">
        <w:rPr>
          <w:rFonts w:asciiTheme="minorHAnsi" w:eastAsia="Times New Roman" w:hAnsiTheme="minorHAnsi" w:cstheme="minorHAnsi"/>
          <w:sz w:val="24"/>
          <w:szCs w:val="24"/>
        </w:rPr>
        <w:t xml:space="preserve"> prevista per i raggruppamenti temporanei in quanto compatibile. In particolare:</w:t>
      </w:r>
    </w:p>
    <w:p w14:paraId="00BB61D2" w14:textId="77777777" w:rsidR="0076366E" w:rsidRPr="00AF38A8" w:rsidRDefault="00BA3D28" w:rsidP="00BD1359">
      <w:pPr>
        <w:numPr>
          <w:ilvl w:val="0"/>
          <w:numId w:val="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la rete sia dotata di organo comune con potere di rappresentanza e soggettività giuridica (cd. Rete – soggetto), l’aggregazione di retisti partecipa a mezzo dell’organo comune, che assume il ruolo del mandatario, qualora in possesso dei relativi requisiti. L’organo comune può indicare anche solo alcuni tra i retisti per la partecipazione alla gara ma deve obbligatoriamente far parte di questi;</w:t>
      </w:r>
    </w:p>
    <w:p w14:paraId="2FA47009" w14:textId="77777777" w:rsidR="0076366E" w:rsidRPr="00AF38A8" w:rsidRDefault="00BA3D28" w:rsidP="00BD1359">
      <w:pPr>
        <w:numPr>
          <w:ilvl w:val="0"/>
          <w:numId w:val="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nel caso in cui la rete sia dotata di organo comune con potere di rappresentanza ma priva di soggettività giuridica (cd. Rete – contratto), l’aggregazione di retisti partecipa a mezzo dell’organo comune, che assume il ruolo del mandatario, qualora in possesso dei requisiti previsti per la mandataria e qualora il contratto di rete rechi mandato allo stesso a presentare domanda di partecipazione o offerta per determinate tipologie di procedure di </w:t>
      </w:r>
      <w:r w:rsidRPr="00AF38A8">
        <w:rPr>
          <w:rFonts w:asciiTheme="minorHAnsi" w:eastAsia="Times New Roman" w:hAnsiTheme="minorHAnsi" w:cstheme="minorHAnsi"/>
          <w:sz w:val="24"/>
          <w:szCs w:val="24"/>
        </w:rPr>
        <w:lastRenderedPageBreak/>
        <w:t>gara. L’organo comune può indicare anche solo alcuni tra i retisti per la partecipazione alla gara ma deve obbligatoriamente far parte di questi;</w:t>
      </w:r>
    </w:p>
    <w:p w14:paraId="526ACC55" w14:textId="77777777" w:rsidR="0076366E" w:rsidRPr="00AF38A8" w:rsidRDefault="00BA3D28" w:rsidP="00BD1359">
      <w:pPr>
        <w:numPr>
          <w:ilvl w:val="0"/>
          <w:numId w:val="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la rete sia dotata di organo comune privo di potere di rappresentanza ovvero sia sprovvista di organo comune, oppure se l’organo comune è privo dei requisiti di qualificazione, l’aggregazione di retisti partecipa nella forma del raggruppamento costituito o costituendo, con applicazione integrale delle relative regole.</w:t>
      </w:r>
    </w:p>
    <w:p w14:paraId="662DADA9"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w:t>
      </w:r>
    </w:p>
    <w:p w14:paraId="016C0736"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L’impresa in concordato preventivo può concorrere anche riunita in raggruppamento temporaneo di imprese e sempre che le altre imprese aderenti al raggruppamento temporaneo di imprese non siano assoggettate ad una procedura concorsuale.</w:t>
      </w:r>
    </w:p>
    <w:p w14:paraId="56B63CE9" w14:textId="77777777" w:rsidR="007A3DAF" w:rsidRPr="00AF38A8" w:rsidRDefault="007A3DAF"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9B5AB64" w14:textId="0365F19D" w:rsidR="007A3DAF"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se la stazione appaltante richiede una forma giuridica specifica per i raggruppamenti] I raggruppamenti di operatori economici, dopo l’aggiudicazione, devono assumere la forma di … [</w:t>
      </w:r>
      <w:r w:rsidRPr="00AF38A8">
        <w:rPr>
          <w:rFonts w:asciiTheme="minorHAnsi" w:eastAsia="Times New Roman" w:hAnsiTheme="minorHAnsi" w:cstheme="minorHAnsi"/>
          <w:i/>
          <w:sz w:val="24"/>
          <w:szCs w:val="24"/>
        </w:rPr>
        <w:t>inserire la forma giuridica specifica</w:t>
      </w:r>
      <w:r w:rsidRPr="00AF38A8">
        <w:rPr>
          <w:rFonts w:asciiTheme="minorHAnsi" w:eastAsia="Times New Roman" w:hAnsiTheme="minorHAnsi" w:cstheme="minorHAnsi"/>
          <w:sz w:val="24"/>
          <w:szCs w:val="24"/>
        </w:rPr>
        <w:t>].</w:t>
      </w:r>
    </w:p>
    <w:p w14:paraId="7E272798" w14:textId="78F2CFC0" w:rsidR="00A91201"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se la stazione appaltante richiede specifiche condizioni di esecuzione per i raggruppamenti] I raggruppamenti di operatori economici, nell’esecuzione dell’appalto, devono rispettare le seguenti condizioni: …. [</w:t>
      </w:r>
      <w:r w:rsidRPr="00AF38A8">
        <w:rPr>
          <w:rFonts w:asciiTheme="minorHAnsi" w:eastAsia="Times New Roman" w:hAnsiTheme="minorHAnsi" w:cstheme="minorHAnsi"/>
          <w:i/>
          <w:sz w:val="24"/>
          <w:szCs w:val="24"/>
        </w:rPr>
        <w:t>inserire le condizioni richieste che devono essere proporzionate e giustificate da ragioni oggettive</w:t>
      </w:r>
      <w:r w:rsidRPr="00AF38A8">
        <w:rPr>
          <w:rFonts w:asciiTheme="minorHAnsi" w:eastAsia="Times New Roman" w:hAnsiTheme="minorHAnsi" w:cstheme="minorHAnsi"/>
          <w:sz w:val="24"/>
          <w:szCs w:val="24"/>
        </w:rPr>
        <w:t>].</w:t>
      </w:r>
    </w:p>
    <w:p w14:paraId="1618F00A" w14:textId="77777777" w:rsidR="00E96DFB" w:rsidRPr="00E96DFB" w:rsidRDefault="00E96DFB"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9D2EA87"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60" w:name="_heading=h.2szc72q" w:colFirst="0" w:colLast="0"/>
      <w:bookmarkStart w:id="61" w:name="bookmark=id.147n2zr" w:colFirst="0" w:colLast="0"/>
      <w:bookmarkStart w:id="62" w:name="_Toc139277027"/>
      <w:bookmarkStart w:id="63" w:name="_Toc140929822"/>
      <w:bookmarkStart w:id="64" w:name="_Toc141027264"/>
      <w:bookmarkEnd w:id="60"/>
      <w:bookmarkEnd w:id="61"/>
      <w:r w:rsidRPr="00AF38A8">
        <w:rPr>
          <w:rFonts w:asciiTheme="minorHAnsi" w:eastAsia="Times New Roman" w:hAnsiTheme="minorHAnsi" w:cstheme="minorHAnsi"/>
          <w:sz w:val="24"/>
          <w:szCs w:val="24"/>
        </w:rPr>
        <w:t>Requisiti di ordine generale e altre cause di esclusione</w:t>
      </w:r>
      <w:bookmarkEnd w:id="62"/>
      <w:bookmarkEnd w:id="63"/>
      <w:bookmarkEnd w:id="64"/>
    </w:p>
    <w:p w14:paraId="7BC01C65" w14:textId="3D66C3C1" w:rsidR="0076366E" w:rsidRPr="00AF38A8" w:rsidRDefault="00BA3D28" w:rsidP="00BD1359">
      <w:pPr>
        <w:widowControl/>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Sono esclusi</w:t>
      </w:r>
      <w:r w:rsidR="00DA3C84" w:rsidRPr="00AF38A8">
        <w:rPr>
          <w:rFonts w:asciiTheme="minorHAnsi" w:eastAsia="Times New Roman" w:hAnsiTheme="minorHAnsi" w:cstheme="minorHAnsi"/>
          <w:sz w:val="24"/>
          <w:szCs w:val="24"/>
        </w:rPr>
        <w:t xml:space="preserve"> dalla gara </w:t>
      </w:r>
      <w:r w:rsidRPr="00AF38A8">
        <w:rPr>
          <w:rFonts w:asciiTheme="minorHAnsi" w:eastAsia="Times New Roman" w:hAnsiTheme="minorHAnsi" w:cstheme="minorHAnsi"/>
          <w:sz w:val="24"/>
          <w:szCs w:val="24"/>
        </w:rPr>
        <w:t xml:space="preserve">gli operatori economici </w:t>
      </w:r>
      <w:r w:rsidR="00DA3C84" w:rsidRPr="00AF38A8">
        <w:rPr>
          <w:rFonts w:asciiTheme="minorHAnsi" w:eastAsia="Times New Roman" w:hAnsiTheme="minorHAnsi" w:cstheme="minorHAnsi"/>
          <w:sz w:val="24"/>
          <w:szCs w:val="24"/>
        </w:rPr>
        <w:t>per i quali sussistono</w:t>
      </w:r>
      <w:r w:rsidRPr="00AF38A8">
        <w:rPr>
          <w:rFonts w:asciiTheme="minorHAnsi" w:eastAsia="Times New Roman" w:hAnsiTheme="minorHAnsi" w:cstheme="minorHAnsi"/>
          <w:sz w:val="24"/>
          <w:szCs w:val="24"/>
        </w:rPr>
        <w:t xml:space="preserve"> </w:t>
      </w:r>
      <w:r w:rsidR="00081DBD">
        <w:rPr>
          <w:rFonts w:asciiTheme="minorHAnsi" w:eastAsia="Times New Roman" w:hAnsiTheme="minorHAnsi" w:cstheme="minorHAnsi"/>
          <w:sz w:val="24"/>
          <w:szCs w:val="24"/>
        </w:rPr>
        <w:t>l</w:t>
      </w:r>
      <w:r w:rsidRPr="00AF38A8">
        <w:rPr>
          <w:rFonts w:asciiTheme="minorHAnsi" w:eastAsia="Times New Roman" w:hAnsiTheme="minorHAnsi" w:cstheme="minorHAnsi"/>
          <w:sz w:val="24"/>
          <w:szCs w:val="24"/>
        </w:rPr>
        <w:t xml:space="preserve">e cause di esclusione di cui </w:t>
      </w:r>
      <w:r w:rsidR="00DA3C84" w:rsidRPr="00AF38A8">
        <w:rPr>
          <w:rFonts w:asciiTheme="minorHAnsi" w:eastAsia="Times New Roman" w:hAnsiTheme="minorHAnsi" w:cstheme="minorHAnsi"/>
          <w:sz w:val="24"/>
          <w:szCs w:val="24"/>
        </w:rPr>
        <w:t xml:space="preserve">agli articoli 94 e 95 del </w:t>
      </w:r>
      <w:r w:rsidR="00A91201" w:rsidRPr="00AF38A8">
        <w:rPr>
          <w:rFonts w:asciiTheme="minorHAnsi" w:eastAsia="Times New Roman" w:hAnsiTheme="minorHAnsi" w:cstheme="minorHAnsi"/>
          <w:sz w:val="24"/>
          <w:szCs w:val="24"/>
        </w:rPr>
        <w:t>Codice.</w:t>
      </w:r>
    </w:p>
    <w:p w14:paraId="140E36C5" w14:textId="77777777" w:rsidR="0076366E" w:rsidRPr="00AF38A8" w:rsidRDefault="00BA3D28" w:rsidP="00BD1359">
      <w:pPr>
        <w:widowControl/>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stazione appaltante verifica il possesso dei requisiti di ordine generale accedendo al fascicolo virtuale dell’operatore economico (di seguito: FVOE).</w:t>
      </w:r>
    </w:p>
    <w:p w14:paraId="0057E296" w14:textId="77777777" w:rsidR="0076366E" w:rsidRPr="00AF38A8" w:rsidRDefault="00BA3D28" w:rsidP="00BD1359">
      <w:pPr>
        <w:widowControl/>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circostanze di cui all’articolo 94 del Codice sono cause di esclusione automatica. La sussistenza delle circostanze di cui all’articolo 95 del Codice è accertata previo contraddittorio con l’operatore economico.</w:t>
      </w:r>
    </w:p>
    <w:p w14:paraId="469C3EC0" w14:textId="6392616F" w:rsidR="0076366E" w:rsidRPr="00AF38A8" w:rsidRDefault="00BA3D28" w:rsidP="00BD1359">
      <w:pPr>
        <w:widowControl/>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caso di partecipazione di consorzi stabili di cui all’articolo 66</w:t>
      </w:r>
      <w:r w:rsidR="00B33D3B">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1</w:t>
      </w:r>
      <w:r w:rsidR="00B33D3B">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g) del Codice i requisiti di cui al punto 5 devono essere posseduti dal consorzio, dalle consorziate indicate quali esecutrici e dalle consorziate che prestano i requisiti (art. 67</w:t>
      </w:r>
      <w:r w:rsidR="00081DBD">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3</w:t>
      </w:r>
      <w:r w:rsidR="00081DBD">
        <w:rPr>
          <w:rFonts w:asciiTheme="minorHAnsi" w:eastAsia="Times New Roman" w:hAnsiTheme="minorHAnsi" w:cstheme="minorHAnsi"/>
          <w:sz w:val="24"/>
          <w:szCs w:val="24"/>
        </w:rPr>
        <w:t>, del Codice</w:t>
      </w:r>
      <w:r w:rsidRPr="00AF38A8">
        <w:rPr>
          <w:rFonts w:asciiTheme="minorHAnsi" w:eastAsia="Times New Roman" w:hAnsiTheme="minorHAnsi" w:cstheme="minorHAnsi"/>
          <w:sz w:val="24"/>
          <w:szCs w:val="24"/>
        </w:rPr>
        <w:t>).</w:t>
      </w:r>
    </w:p>
    <w:p w14:paraId="732036AC"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5DE546E"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 xml:space="preserve">Sono esclusi gli operatori economici per i quali sussistono le condizioni di concentrazione degli incarichi di cui all’art. 3 dell’Ordinanza commissariale n. 33/2017 e </w:t>
      </w:r>
      <w:proofErr w:type="spellStart"/>
      <w:r w:rsidRPr="00AF38A8">
        <w:rPr>
          <w:rFonts w:asciiTheme="minorHAnsi" w:eastAsia="Times New Roman" w:hAnsiTheme="minorHAnsi" w:cstheme="minorHAnsi"/>
          <w:b/>
          <w:sz w:val="24"/>
          <w:szCs w:val="24"/>
        </w:rPr>
        <w:t>ss.mm.ii</w:t>
      </w:r>
      <w:proofErr w:type="spellEnd"/>
      <w:r w:rsidRPr="00AF38A8">
        <w:rPr>
          <w:rFonts w:asciiTheme="minorHAnsi" w:eastAsia="Times New Roman" w:hAnsiTheme="minorHAnsi" w:cstheme="minorHAnsi"/>
          <w:b/>
          <w:sz w:val="24"/>
          <w:szCs w:val="24"/>
        </w:rPr>
        <w:t>., che dispone quanto segue:</w:t>
      </w:r>
    </w:p>
    <w:p w14:paraId="2D59C1D3" w14:textId="65D5B110" w:rsidR="0076366E" w:rsidRPr="00AF38A8" w:rsidRDefault="00BA3D28" w:rsidP="00BD1359">
      <w:pPr>
        <w:numPr>
          <w:ilvl w:val="0"/>
          <w:numId w:val="6"/>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 xml:space="preserve">è vietato il conferimento di incarichi di progettazione architettonica, progettazione impiantistica, progettazione strutturale, direzione dei lavori, coordinamento della sicurezza in fase di progettazione, direzione dell'esecuzione e coordinamento della sicurezza in fase di esecuzione, per un importo massimo di lavori pari o superiore, complessivamente, ad € </w:t>
      </w:r>
      <w:r w:rsidRPr="00AF38A8">
        <w:rPr>
          <w:rFonts w:asciiTheme="minorHAnsi" w:eastAsia="Times New Roman" w:hAnsiTheme="minorHAnsi" w:cstheme="minorHAnsi"/>
          <w:i/>
          <w:sz w:val="24"/>
          <w:szCs w:val="24"/>
        </w:rPr>
        <w:lastRenderedPageBreak/>
        <w:t xml:space="preserve">50.000.000,00 (euro </w:t>
      </w:r>
      <w:r w:rsidR="00B822AB" w:rsidRPr="00AF38A8">
        <w:rPr>
          <w:rFonts w:asciiTheme="minorHAnsi" w:eastAsia="Times New Roman" w:hAnsiTheme="minorHAnsi" w:cstheme="minorHAnsi"/>
          <w:i/>
          <w:sz w:val="24"/>
          <w:szCs w:val="24"/>
        </w:rPr>
        <w:t>cinquanta milioni</w:t>
      </w:r>
      <w:r w:rsidRPr="00AF38A8">
        <w:rPr>
          <w:rFonts w:asciiTheme="minorHAnsi" w:eastAsia="Times New Roman" w:hAnsiTheme="minorHAnsi" w:cstheme="minorHAnsi"/>
          <w:i/>
          <w:sz w:val="24"/>
          <w:szCs w:val="24"/>
        </w:rPr>
        <w:t>);</w:t>
      </w:r>
    </w:p>
    <w:p w14:paraId="676D8887" w14:textId="77777777" w:rsidR="0076366E" w:rsidRPr="00AF38A8" w:rsidRDefault="00BA3D28" w:rsidP="00BD1359">
      <w:pPr>
        <w:numPr>
          <w:ilvl w:val="0"/>
          <w:numId w:val="6"/>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indipendentemente dall’importo dei lavori, nessun operatore economico può assumere un numero di incarichi professionali superiore a quindici;</w:t>
      </w:r>
    </w:p>
    <w:p w14:paraId="701B8AD1" w14:textId="77777777" w:rsidR="0076366E" w:rsidRPr="00AF38A8" w:rsidRDefault="00BA3D28" w:rsidP="00BD1359">
      <w:pPr>
        <w:numPr>
          <w:ilvl w:val="0"/>
          <w:numId w:val="6"/>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il numero massimo di incarichi conferibili, relativamente al collaudo statico è pari a trenta;</w:t>
      </w:r>
    </w:p>
    <w:p w14:paraId="6BA963B7" w14:textId="77777777" w:rsidR="0076366E" w:rsidRPr="00AF38A8" w:rsidRDefault="00BA3D28" w:rsidP="00BD1359">
      <w:pPr>
        <w:numPr>
          <w:ilvl w:val="0"/>
          <w:numId w:val="6"/>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 xml:space="preserve">su motivata istanza dell’operatore economico iscritto nell’Elenco speciale di cui all’art. 34 del D.L. n. 189 del 2016 e s.m.i.,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AF38A8">
        <w:rPr>
          <w:rFonts w:asciiTheme="minorHAnsi" w:eastAsia="Times New Roman" w:hAnsiTheme="minorHAnsi" w:cstheme="minorHAnsi"/>
          <w:b/>
          <w:i/>
          <w:sz w:val="24"/>
          <w:szCs w:val="24"/>
        </w:rPr>
        <w:t>L’eventuale predetta autorizzazione deve essere ottenuta prima della partecipazione alla presente procedura e prodotta unitamente alla domanda di partecipazione</w:t>
      </w:r>
      <w:r w:rsidRPr="00AF38A8">
        <w:rPr>
          <w:rFonts w:asciiTheme="minorHAnsi" w:eastAsia="Times New Roman" w:hAnsiTheme="minorHAnsi" w:cstheme="minorHAnsi"/>
          <w:i/>
          <w:sz w:val="24"/>
          <w:szCs w:val="24"/>
        </w:rPr>
        <w:t>;</w:t>
      </w:r>
    </w:p>
    <w:p w14:paraId="5C6363FB" w14:textId="77777777" w:rsidR="0076366E" w:rsidRPr="00AF38A8" w:rsidRDefault="00BA3D28" w:rsidP="00BD1359">
      <w:pPr>
        <w:numPr>
          <w:ilvl w:val="0"/>
          <w:numId w:val="6"/>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s.m.i.,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w:t>
      </w:r>
    </w:p>
    <w:p w14:paraId="6BFF81CD" w14:textId="77777777" w:rsidR="0076366E" w:rsidRPr="00AF38A8" w:rsidRDefault="00BA3D28" w:rsidP="00BD1359">
      <w:pPr>
        <w:numPr>
          <w:ilvl w:val="0"/>
          <w:numId w:val="6"/>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 L’inosservanza dell’obbligo di cui al precedente periodo determina l’esclusione del professionista dalla procedura ovvero l’inconferibilità dell’incarico</w:t>
      </w:r>
      <w:r w:rsidRPr="00AF38A8">
        <w:rPr>
          <w:rFonts w:asciiTheme="minorHAnsi" w:eastAsia="Times New Roman" w:hAnsiTheme="minorHAnsi" w:cstheme="minorHAnsi"/>
          <w:sz w:val="24"/>
          <w:szCs w:val="24"/>
        </w:rPr>
        <w:t>.</w:t>
      </w:r>
    </w:p>
    <w:p w14:paraId="44238BB6" w14:textId="77777777" w:rsidR="009B40DA" w:rsidRPr="00AF38A8" w:rsidRDefault="009B40DA" w:rsidP="00BD1359">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22B390DF" w14:textId="77777777" w:rsidR="0076366E" w:rsidRPr="00081DBD"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081DBD">
        <w:rPr>
          <w:rFonts w:asciiTheme="minorHAnsi" w:eastAsia="Times New Roman" w:hAnsiTheme="minorHAnsi" w:cstheme="minorHAnsi"/>
          <w:sz w:val="24"/>
          <w:szCs w:val="24"/>
        </w:rPr>
        <w:t>La verifica dei limiti di concentrazione previsti dall’art. 3 dell’Ordinanza commissariale n. 33/2017 verrà eseguita solo sugli incarichi contemporanei secondo i termini previsti dall’art. 3, comma 3, dell’O.S.C.S.R. n. 103 del 29/06/2020.</w:t>
      </w:r>
    </w:p>
    <w:p w14:paraId="5DC986FD"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74C78CC"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Self cleaning</w:t>
      </w:r>
    </w:p>
    <w:p w14:paraId="6BC2D843"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Un operatore economico che si trovi in una delle situazioni di cui agli articoli 94 e 95 del Codice, ad eccezione delle irregolarità contributive e fiscali definitivamente e non definitivamente accertate, può fornire prova di aver adottato misure (c.d. self cleaning) sufficienti a dimostrare la sua affidabilità.</w:t>
      </w:r>
    </w:p>
    <w:p w14:paraId="2CEF7E59"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causa di esclusione si è verificata prima della presentazione dell’offerta, l’operatore economico indica nel DGUE la causa ostativa e, alternativamente:</w:t>
      </w:r>
    </w:p>
    <w:p w14:paraId="7ACEE77B"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descrive le misure adottate ai sensi dell’articolo 96, comma 6 del Codice;</w:t>
      </w:r>
    </w:p>
    <w:p w14:paraId="6E936100"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 motiva l’impossibilità ad adottare dette misure e si impegna a provvedere successivamente. L’adozione delle misure è comunicata alla stazione appaltante. </w:t>
      </w:r>
    </w:p>
    <w:p w14:paraId="26FD3F01"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Se la causa di esclusione si è verificata successivamente alla presentazione dell’offerta, l’operatore economico adotta le misure di cui al comma 6 dell’articolo 96 del Codice dandone comunicazione alla stazione appaltante.</w:t>
      </w:r>
    </w:p>
    <w:p w14:paraId="5C66C288"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6D41CBF2"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le misure adottate sono ritenute sufficienti e tempestive, l’operatore economico non è escluso. Se dette misure sono ritenute insufficienti e intempestive, la stazione appaltante ne comunica le ragioni all’operatore economico.</w:t>
      </w:r>
    </w:p>
    <w:p w14:paraId="1039FC60"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Non può avvalersi del self-cleaning l’operatore economico escluso con sentenza definitiva dalla partecipazione alle procedure di affidamento o di concessione, nel corso del periodo di esclusione derivante da tale sentenza.</w:t>
      </w:r>
    </w:p>
    <w:p w14:paraId="1B93B349"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w:t>
      </w:r>
    </w:p>
    <w:p w14:paraId="0C51CB25"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8EAF2D4"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Altre cause di esclusione</w:t>
      </w:r>
    </w:p>
    <w:p w14:paraId="2872852F" w14:textId="7DABBBD4"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Sono esclusi gli operatori economici che abbiano affidato incarichi in violazione dell’articolo 53, comma 16-ter, del decreto legislativo </w:t>
      </w:r>
      <w:r w:rsidR="00081DBD">
        <w:rPr>
          <w:rFonts w:asciiTheme="minorHAnsi" w:eastAsia="Times New Roman" w:hAnsiTheme="minorHAnsi" w:cstheme="minorHAnsi"/>
          <w:sz w:val="24"/>
          <w:szCs w:val="24"/>
        </w:rPr>
        <w:t>3</w:t>
      </w:r>
      <w:r w:rsidR="00081DBD" w:rsidRPr="00081DBD">
        <w:rPr>
          <w:rFonts w:asciiTheme="minorHAnsi" w:eastAsia="Times New Roman" w:hAnsiTheme="minorHAnsi" w:cstheme="minorHAnsi"/>
          <w:sz w:val="24"/>
          <w:szCs w:val="24"/>
        </w:rPr>
        <w:t>0 marzo 2001, n. 165</w:t>
      </w:r>
      <w:r w:rsidRPr="00AF38A8">
        <w:rPr>
          <w:rFonts w:asciiTheme="minorHAnsi" w:eastAsia="Times New Roman" w:hAnsiTheme="minorHAnsi" w:cstheme="minorHAnsi"/>
          <w:sz w:val="24"/>
          <w:szCs w:val="24"/>
        </w:rPr>
        <w:t xml:space="preserve"> a soggetti che hanno esercitato, in qualità di dipendenti, poteri autoritativi o negoziali presso l’amministrazione affidante negli ultimi tre anni.</w:t>
      </w:r>
    </w:p>
    <w:p w14:paraId="17D50D07" w14:textId="77777777" w:rsidR="00081DBD" w:rsidRPr="00081DBD"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bookmarkStart w:id="65" w:name="_Hlk139557743"/>
      <w:r w:rsidRPr="00081DBD">
        <w:rPr>
          <w:rFonts w:asciiTheme="minorHAnsi" w:eastAsia="Times New Roman" w:hAnsiTheme="minorHAnsi" w:cstheme="minorHAnsi"/>
          <w:b/>
          <w:sz w:val="24"/>
          <w:szCs w:val="24"/>
        </w:rPr>
        <w:t xml:space="preserve">Protocollo di legalità: </w:t>
      </w:r>
    </w:p>
    <w:p w14:paraId="4C6C3191" w14:textId="3F6435BE" w:rsidR="0076366E" w:rsidRDefault="00BA3D28" w:rsidP="00BD1359">
      <w:pPr>
        <w:pBdr>
          <w:top w:val="nil"/>
          <w:left w:val="nil"/>
          <w:bottom w:val="nil"/>
          <w:right w:val="nil"/>
          <w:between w:val="nil"/>
        </w:pBdr>
        <w:spacing w:line="276" w:lineRule="auto"/>
        <w:jc w:val="both"/>
        <w:rPr>
          <w:rFonts w:asciiTheme="minorHAnsi" w:eastAsia="Times New Roman" w:hAnsiTheme="minorHAnsi" w:cstheme="minorHAnsi"/>
          <w:bCs/>
          <w:iCs/>
          <w:sz w:val="24"/>
          <w:szCs w:val="24"/>
        </w:rPr>
      </w:pPr>
      <w:r w:rsidRPr="00AF38A8">
        <w:rPr>
          <w:rFonts w:asciiTheme="minorHAnsi" w:eastAsia="Times New Roman" w:hAnsiTheme="minorHAnsi" w:cstheme="minorHAnsi"/>
          <w:sz w:val="24"/>
          <w:szCs w:val="24"/>
        </w:rPr>
        <w:t>La mancata accettazione delle clausole contenute nel "Protocollo quadro di legalità" sottoscritto in data 26/07/2017 dal Commissario straordinario del Governo, dalla Struttura di Missione e dalla Centrale Unica di Committenza INVITALIA Spa, costituisce causa di esclusione dalla gara, ai sensi dell’art. 1, comma 17. della l. 190/2012</w:t>
      </w:r>
      <w:r w:rsidR="00227A14" w:rsidRPr="00AF38A8">
        <w:rPr>
          <w:rFonts w:asciiTheme="minorHAnsi" w:eastAsia="Times New Roman" w:hAnsiTheme="minorHAnsi" w:cstheme="minorHAnsi"/>
          <w:bCs/>
          <w:iCs/>
          <w:sz w:val="24"/>
          <w:szCs w:val="24"/>
        </w:rPr>
        <w:t>.</w:t>
      </w:r>
      <w:bookmarkEnd w:id="65"/>
    </w:p>
    <w:p w14:paraId="026E83AF" w14:textId="77777777" w:rsidR="005B475E" w:rsidRPr="00AF38A8" w:rsidRDefault="005B475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B48F7F5" w14:textId="34917D76"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66" w:name="_Toc139277028"/>
      <w:bookmarkStart w:id="67" w:name="_Toc140929823"/>
      <w:bookmarkStart w:id="68" w:name="_Toc141027265"/>
      <w:r w:rsidRPr="00AF38A8">
        <w:rPr>
          <w:rFonts w:asciiTheme="minorHAnsi" w:eastAsia="Times New Roman" w:hAnsiTheme="minorHAnsi" w:cstheme="minorHAnsi"/>
          <w:sz w:val="24"/>
          <w:szCs w:val="24"/>
        </w:rPr>
        <w:t>Requisiti di ordine speciale e mezzi di prova</w:t>
      </w:r>
      <w:bookmarkEnd w:id="66"/>
      <w:bookmarkEnd w:id="67"/>
      <w:bookmarkEnd w:id="68"/>
    </w:p>
    <w:p w14:paraId="295D3358"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concorrenti devono possedere, a pena di esclusione, i requisiti previsti nei commi seguenti.</w:t>
      </w:r>
    </w:p>
    <w:p w14:paraId="7787796D" w14:textId="31E772E3"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Ai sensi dell’articolo 99 del </w:t>
      </w:r>
      <w:r w:rsidR="00081DBD">
        <w:rPr>
          <w:rFonts w:asciiTheme="minorHAnsi" w:eastAsia="Times New Roman" w:hAnsiTheme="minorHAnsi" w:cstheme="minorHAnsi"/>
          <w:sz w:val="24"/>
          <w:szCs w:val="24"/>
        </w:rPr>
        <w:t>C</w:t>
      </w:r>
      <w:r w:rsidRPr="00AF38A8">
        <w:rPr>
          <w:rFonts w:asciiTheme="minorHAnsi" w:eastAsia="Times New Roman" w:hAnsiTheme="minorHAnsi" w:cstheme="minorHAnsi"/>
          <w:sz w:val="24"/>
          <w:szCs w:val="24"/>
        </w:rPr>
        <w:t>odice e dell’articolo 40 dell’Allegato II.12, la verifica del possesso dei requisiti necessari ai fini della partecipazione degli Operatori economici per l’affidamento dei servizi di architettura e di ingegneria, avviene attraverso il fascicolo virtuale dell’operatore economico di cui all’articolo 24 del codice.</w:t>
      </w:r>
    </w:p>
    <w:p w14:paraId="234A4F39"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concorrente è tenuto ad inserire nel FVOE i dati e le informazioni richiesti per la comprova del requisito, qualora questi non siano già presenti nel fascicolo o non siano già in possesso della stazione appaltante e non possano essere acquisiti d’ufficio da quest’ultima.</w:t>
      </w:r>
    </w:p>
    <w:p w14:paraId="2FC9F7C5" w14:textId="51F6ADEB" w:rsidR="0076366E" w:rsidRDefault="0076366E" w:rsidP="00BD1359">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p>
    <w:p w14:paraId="7F7AFAEA" w14:textId="2BF8EE73" w:rsidR="00B822AB" w:rsidRDefault="00B822AB" w:rsidP="00BD1359">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p>
    <w:p w14:paraId="07E08CF8" w14:textId="77777777" w:rsidR="00B822AB" w:rsidRPr="00BA3D28" w:rsidRDefault="00B822AB" w:rsidP="00BD1359">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p>
    <w:p w14:paraId="7233165B" w14:textId="70429AA0" w:rsidR="0076366E" w:rsidRPr="002B5D71" w:rsidRDefault="00BA3D28"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2B5D71">
        <w:rPr>
          <w:rFonts w:ascii="Titillium" w:hAnsi="Titillium"/>
          <w:i/>
          <w:sz w:val="18"/>
          <w:szCs w:val="18"/>
        </w:rPr>
        <w:t>N.B. In caso di suddivisione della gara in lotti, le stazioni appaltanti specificano per ciascun requisito speciale per quale lotto è richiesto.</w:t>
      </w:r>
    </w:p>
    <w:p w14:paraId="2CEDA070" w14:textId="77777777" w:rsidR="0076366E" w:rsidRPr="00BA3D28" w:rsidRDefault="0076366E" w:rsidP="00BD1359">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p>
    <w:p w14:paraId="15C7AEF1" w14:textId="17B28D1E"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sensi dell’art</w:t>
      </w:r>
      <w:r w:rsidR="00081DBD">
        <w:rPr>
          <w:rFonts w:asciiTheme="minorHAnsi" w:eastAsia="Times New Roman" w:hAnsiTheme="minorHAnsi" w:cstheme="minorHAnsi"/>
          <w:sz w:val="24"/>
          <w:szCs w:val="24"/>
        </w:rPr>
        <w:t>icolo</w:t>
      </w:r>
      <w:r w:rsidRPr="00AF38A8">
        <w:rPr>
          <w:rFonts w:asciiTheme="minorHAnsi" w:eastAsia="Times New Roman" w:hAnsiTheme="minorHAnsi" w:cstheme="minorHAnsi"/>
          <w:sz w:val="24"/>
          <w:szCs w:val="24"/>
        </w:rPr>
        <w:t xml:space="preserve"> 70, comma 4, lett. e) del Codice, sono inammissibili le offerte prive della qualificazione richiesta </w:t>
      </w:r>
      <w:r w:rsidR="00227A14" w:rsidRPr="00AF38A8">
        <w:rPr>
          <w:rFonts w:asciiTheme="minorHAnsi" w:eastAsia="Times New Roman" w:hAnsiTheme="minorHAnsi" w:cstheme="minorHAnsi"/>
          <w:sz w:val="24"/>
          <w:szCs w:val="24"/>
        </w:rPr>
        <w:t>dal</w:t>
      </w:r>
      <w:r w:rsidR="009E6219" w:rsidRPr="00AF38A8">
        <w:rPr>
          <w:rFonts w:asciiTheme="minorHAnsi" w:eastAsia="Times New Roman" w:hAnsiTheme="minorHAnsi" w:cstheme="minorHAnsi"/>
          <w:sz w:val="24"/>
          <w:szCs w:val="24"/>
        </w:rPr>
        <w:t>la</w:t>
      </w:r>
      <w:r w:rsidRPr="00AF38A8">
        <w:rPr>
          <w:rFonts w:asciiTheme="minorHAnsi" w:eastAsia="Times New Roman" w:hAnsiTheme="minorHAnsi" w:cstheme="minorHAnsi"/>
          <w:sz w:val="24"/>
          <w:szCs w:val="24"/>
        </w:rPr>
        <w:t xml:space="preserve"> presente </w:t>
      </w:r>
      <w:r w:rsidR="009E6219" w:rsidRPr="00AF38A8">
        <w:rPr>
          <w:rFonts w:asciiTheme="minorHAnsi" w:eastAsia="Times New Roman" w:hAnsiTheme="minorHAnsi" w:cstheme="minorHAnsi"/>
          <w:sz w:val="24"/>
          <w:szCs w:val="24"/>
        </w:rPr>
        <w:t>lettera di invito</w:t>
      </w:r>
      <w:r w:rsidRPr="00AF38A8">
        <w:rPr>
          <w:rFonts w:asciiTheme="minorHAnsi" w:eastAsia="Times New Roman" w:hAnsiTheme="minorHAnsi" w:cstheme="minorHAnsi"/>
          <w:sz w:val="24"/>
          <w:szCs w:val="24"/>
        </w:rPr>
        <w:t>.</w:t>
      </w:r>
    </w:p>
    <w:p w14:paraId="288F1557"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 partecipanti devono possedere i requisiti minimi stabiliti nella Parte V dell’allegato II.12 del Codice come di seguito dettagliati. </w:t>
      </w:r>
    </w:p>
    <w:p w14:paraId="14327084" w14:textId="475B315A"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sensi dell’art</w:t>
      </w:r>
      <w:r w:rsidR="00081DBD">
        <w:rPr>
          <w:rFonts w:asciiTheme="minorHAnsi" w:eastAsia="Times New Roman" w:hAnsiTheme="minorHAnsi" w:cstheme="minorHAnsi"/>
          <w:sz w:val="24"/>
          <w:szCs w:val="24"/>
        </w:rPr>
        <w:t>icolo</w:t>
      </w:r>
      <w:r w:rsidRPr="00AF38A8">
        <w:rPr>
          <w:rFonts w:asciiTheme="minorHAnsi" w:eastAsia="Times New Roman" w:hAnsiTheme="minorHAnsi" w:cstheme="minorHAnsi"/>
          <w:sz w:val="24"/>
          <w:szCs w:val="24"/>
        </w:rPr>
        <w:t xml:space="preserve"> 66</w:t>
      </w:r>
      <w:r w:rsidR="00081DBD">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2</w:t>
      </w:r>
      <w:r w:rsidR="00081DBD">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Codice le società, per un periodo di cinque anni dalla loro costituzione, possono documentare il possesso dei requisiti economico-finanziari e tecnico-professionali richiesti dal bando di gara anche nei seguenti termini:</w:t>
      </w:r>
    </w:p>
    <w:p w14:paraId="6E133D7C" w14:textId="77777777" w:rsidR="0076366E" w:rsidRPr="00AF38A8" w:rsidRDefault="00BA3D28" w:rsidP="00BD1359">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società di persone o cooperative tramite i requisiti dei soci;</w:t>
      </w:r>
    </w:p>
    <w:p w14:paraId="732AAD76" w14:textId="77777777" w:rsidR="0076366E" w:rsidRPr="00AF38A8" w:rsidRDefault="00BA3D28" w:rsidP="00BD1359">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società di capitali tramite i requisiti dei soci, nonché dei direttori tecnici o dei professionisti dipendenti a tempo indeterminato, nonché di altri soggetti abilitati in forza del diritto nazionale a offrire sul mercato servizi di ingegneria e di architettura, nel rispetto dei princìpi di non discriminazione e par condicio fra i diversi soggetti abilitati i cui requisiti minimi sono stabiliti nel II.12 del Codice.</w:t>
      </w:r>
    </w:p>
    <w:p w14:paraId="474D8BF7" w14:textId="77777777" w:rsidR="0076366E" w:rsidRPr="00AF38A8" w:rsidRDefault="0076366E" w:rsidP="00BD1359">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p>
    <w:p w14:paraId="64D97AE7" w14:textId="462DF5AB" w:rsidR="0076366E"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bookmarkStart w:id="69" w:name="_heading=h.279ka65" w:colFirst="0" w:colLast="0"/>
      <w:bookmarkStart w:id="70" w:name="_Toc139277029"/>
      <w:bookmarkStart w:id="71" w:name="_Toc140929824"/>
      <w:bookmarkStart w:id="72" w:name="_Toc141027266"/>
      <w:bookmarkEnd w:id="69"/>
      <w:r w:rsidRPr="00AF38A8">
        <w:rPr>
          <w:rFonts w:asciiTheme="minorHAnsi" w:eastAsia="Times New Roman" w:hAnsiTheme="minorHAnsi" w:cstheme="minorHAnsi"/>
          <w:sz w:val="24"/>
          <w:szCs w:val="24"/>
        </w:rPr>
        <w:t>Requisiti di idoneità</w:t>
      </w:r>
      <w:bookmarkEnd w:id="70"/>
      <w:bookmarkEnd w:id="71"/>
      <w:bookmarkEnd w:id="72"/>
      <w:r w:rsidRPr="00AF38A8">
        <w:rPr>
          <w:rFonts w:asciiTheme="minorHAnsi" w:eastAsia="Times New Roman" w:hAnsiTheme="minorHAnsi" w:cstheme="minorHAnsi"/>
          <w:sz w:val="24"/>
          <w:szCs w:val="24"/>
        </w:rPr>
        <w:t xml:space="preserve"> </w:t>
      </w:r>
    </w:p>
    <w:p w14:paraId="064CE1AA" w14:textId="77777777" w:rsidR="0076366E" w:rsidRPr="00AF38A8" w:rsidRDefault="00BA3D28" w:rsidP="00BD1359">
      <w:pPr>
        <w:numPr>
          <w:ilvl w:val="0"/>
          <w:numId w:val="8"/>
        </w:num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73" w:name="_heading=h.36ei31r" w:colFirst="0" w:colLast="0"/>
      <w:bookmarkEnd w:id="73"/>
      <w:r w:rsidRPr="00AF38A8">
        <w:rPr>
          <w:rFonts w:asciiTheme="minorHAnsi" w:eastAsia="Times New Roman" w:hAnsiTheme="minorHAnsi" w:cstheme="minorHAnsi"/>
          <w:sz w:val="24"/>
          <w:szCs w:val="24"/>
        </w:rPr>
        <w:t>Iscrizione oppure avvenuta presentazione della domanda di iscrizione all’elenco speciale dei professionisti di cui all’art. 34 del d.l. n. 189/2016. Il concorrente indica, nelle dichiarazioni di cui al paragrafo 15, gli estremi dell’iscrizione nell’elenco speciale dei professionisti.</w:t>
      </w:r>
    </w:p>
    <w:p w14:paraId="4E79DFE5" w14:textId="77777777" w:rsidR="0076366E" w:rsidRPr="00AF38A8" w:rsidRDefault="00BA3D28" w:rsidP="00BD1359">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la comprova del requisito la stazione appaltante consulta d’ufficio l’elenco speciale pubblicato sul sito https://professionisti.sisma2016.gov.it/elenco oppure contatta la segreteria della Struttura commissariale.</w:t>
      </w:r>
    </w:p>
    <w:p w14:paraId="348F2351" w14:textId="32610EDA" w:rsidR="0076366E" w:rsidRPr="00081DBD" w:rsidRDefault="00BA3D28" w:rsidP="00BD1359">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081DBD">
        <w:rPr>
          <w:rFonts w:asciiTheme="minorHAnsi" w:eastAsia="Times New Roman" w:hAnsiTheme="minorHAnsi" w:cstheme="minorHAnsi"/>
          <w:sz w:val="24"/>
          <w:szCs w:val="24"/>
        </w:rPr>
        <w:t>Coloro che svolgono prestazioni specialistiche, connesse o comunque afferenti all’attività di progettazione oggetto della presente procedura, per le quali non è prescritta l’iscrizione in apposito albo, possono, in luogo dell’iscrizione all’elenco speciale, fino a quando perdurerà la condizione di oggettiva impossibilità alla presentazione di iscrizione, produrre una dichiarazione, resa ai sensi degli articoli 38, 46, e 47 del d.P.R. 28 dicembre 2000, n.445, attestante l’esercizio di attività professionale per la quale è prescritta la sola iscrizione in un elenco della Pubblica Amministrazione ovvero di un ente pubblico nonché il possesso dei requisiti prescritti ai fini della iscrizione nel citato “elenco speciale dei professionisti”.</w:t>
      </w:r>
    </w:p>
    <w:p w14:paraId="724AAD12" w14:textId="77777777" w:rsidR="0076366E" w:rsidRPr="00081DBD" w:rsidRDefault="00BA3D28" w:rsidP="00BD1359">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081DBD">
        <w:rPr>
          <w:rFonts w:asciiTheme="minorHAnsi" w:eastAsia="Times New Roman" w:hAnsiTheme="minorHAnsi" w:cstheme="minorHAnsi"/>
          <w:sz w:val="24"/>
          <w:szCs w:val="24"/>
        </w:rPr>
        <w:t>Si precisa che il requisito dell’iscrizione o avvenuta presentazione della domanda di iscrizione all’elenco speciale dei professionisti di cui all’art. 34 del citato d.l. n.189/2016 deve essere posseduto anche dagli operatori economici che rivestono il ruolo di subappaltatore</w:t>
      </w:r>
      <w:r w:rsidR="00E4498F" w:rsidRPr="00081DBD">
        <w:rPr>
          <w:rFonts w:asciiTheme="minorHAnsi" w:eastAsia="Times New Roman" w:hAnsiTheme="minorHAnsi" w:cstheme="minorHAnsi"/>
          <w:sz w:val="24"/>
          <w:szCs w:val="24"/>
        </w:rPr>
        <w:t>.</w:t>
      </w:r>
    </w:p>
    <w:p w14:paraId="35DE72CB" w14:textId="77777777" w:rsidR="00E4498F" w:rsidRPr="00081DBD" w:rsidRDefault="00E4498F" w:rsidP="00BD1359">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p>
    <w:p w14:paraId="31E694E9" w14:textId="6202D60E" w:rsidR="00E4498F" w:rsidRPr="009751EC" w:rsidRDefault="00E4498F"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b/>
          <w:i/>
          <w:sz w:val="18"/>
          <w:szCs w:val="18"/>
        </w:rPr>
      </w:pPr>
      <w:r w:rsidRPr="009751EC">
        <w:rPr>
          <w:rFonts w:ascii="Titillium" w:hAnsi="Titillium"/>
          <w:b/>
          <w:i/>
          <w:sz w:val="18"/>
          <w:szCs w:val="18"/>
        </w:rPr>
        <w:t xml:space="preserve">N.B. Qualora siano previste indagini geologiche, geotecniche e sismiche, sondaggi, rilievi, misurazioni e picchettazioni inserire il requisito di iscrizione oppure avvenuta domanda di iscrizione all’Anagrafe antimafia degli esecutori di cui all’art. 30, del decreto- legge </w:t>
      </w:r>
      <w:r w:rsidR="00081DBD" w:rsidRPr="009751EC">
        <w:rPr>
          <w:rFonts w:ascii="Titillium" w:hAnsi="Titillium"/>
          <w:b/>
          <w:i/>
          <w:sz w:val="18"/>
          <w:szCs w:val="18"/>
        </w:rPr>
        <w:t xml:space="preserve">n. </w:t>
      </w:r>
      <w:r w:rsidRPr="009751EC">
        <w:rPr>
          <w:rFonts w:ascii="Titillium" w:hAnsi="Titillium"/>
          <w:b/>
          <w:i/>
          <w:sz w:val="18"/>
          <w:szCs w:val="18"/>
        </w:rPr>
        <w:t>189/2016, limitatamente ai soggetti esecutori delle prestazioni.</w:t>
      </w:r>
    </w:p>
    <w:p w14:paraId="75EB8D33" w14:textId="19F5B717" w:rsidR="00E4498F" w:rsidRDefault="00E4498F" w:rsidP="00BD1359">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027DB8BD" w14:textId="77777777" w:rsidR="008646AC" w:rsidRPr="00AF38A8" w:rsidRDefault="008646AC" w:rsidP="00BD1359">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6894E692" w14:textId="77777777" w:rsidR="0076366E" w:rsidRPr="00AF38A8" w:rsidRDefault="00BA3D28" w:rsidP="00BD1359">
      <w:pPr>
        <w:numPr>
          <w:ilvl w:val="0"/>
          <w:numId w:val="8"/>
        </w:num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lastRenderedPageBreak/>
        <w:t>I requisiti di cui all’allegato II.12 parte V del Codice</w:t>
      </w:r>
    </w:p>
    <w:p w14:paraId="335E516C" w14:textId="5AE8FCBC" w:rsidR="0076366E" w:rsidRDefault="00BA3D28" w:rsidP="00BD1359">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concorrente non stabilito in Italia ma in altro Stato membro o in uno dei Paesi di cui all’art. 100 del Codice, presenta iscrizione ad apposito albo corrispondente previsto dalla legislazione nazionale di appartenenza o dichiarazione giurata o secondo le modalità vigenti nello Stato nel quale è stabilito.</w:t>
      </w:r>
    </w:p>
    <w:p w14:paraId="373491FD" w14:textId="77777777" w:rsidR="001C0C64" w:rsidRPr="00AF38A8" w:rsidRDefault="001C0C64" w:rsidP="00BD1359">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p>
    <w:p w14:paraId="446662AB" w14:textId="77777777" w:rsidR="0076366E" w:rsidRPr="00AF38A8" w:rsidRDefault="00BA3D28" w:rsidP="00BD1359">
      <w:pPr>
        <w:numPr>
          <w:ilvl w:val="0"/>
          <w:numId w:val="8"/>
        </w:num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74" w:name="_heading=h.1ljsd9k" w:colFirst="0" w:colLast="0"/>
      <w:bookmarkEnd w:id="74"/>
      <w:r w:rsidRPr="00AF38A8">
        <w:rPr>
          <w:rFonts w:asciiTheme="minorHAnsi" w:eastAsia="Times New Roman" w:hAnsiTheme="minorHAnsi" w:cstheme="minorHAnsi"/>
          <w:sz w:val="24"/>
          <w:szCs w:val="24"/>
        </w:rPr>
        <w:t xml:space="preserve">(per tutte le tipologie di società e per i consorzi) </w:t>
      </w:r>
      <w:r w:rsidRPr="00AF38A8">
        <w:rPr>
          <w:rFonts w:asciiTheme="minorHAnsi" w:eastAsia="Times New Roman" w:hAnsiTheme="minorHAnsi" w:cstheme="minorHAnsi"/>
          <w:b/>
          <w:bCs/>
          <w:sz w:val="24"/>
          <w:szCs w:val="24"/>
        </w:rPr>
        <w:t>Iscrizione nel registro delle imprese</w:t>
      </w:r>
      <w:r w:rsidRPr="00AF38A8">
        <w:rPr>
          <w:rFonts w:asciiTheme="minorHAnsi" w:eastAsia="Times New Roman" w:hAnsiTheme="minorHAnsi" w:cstheme="minorHAnsi"/>
          <w:sz w:val="24"/>
          <w:szCs w:val="24"/>
        </w:rPr>
        <w:t xml:space="preserve"> tenuto dalla Camera di commercio industria, artigianato e agricoltura per attività coerenti con quelle oggetto della presente procedura di gara.</w:t>
      </w:r>
    </w:p>
    <w:p w14:paraId="26E40A12"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l’operatore economico di altro Stato membro, non residente in Italia: iscrizione in uno dei registri professionali o commerciali degli altri Stati membri di cui all’allegato II.11 del Codice, ai sensi dell’articolo 100, comma 3.</w:t>
      </w:r>
    </w:p>
    <w:p w14:paraId="1563271D"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Ai fini della comprova, l’iscrizione nel Registro è acquisita d’ufficio dalla stazione appaltante tramite il FVOE. Gli operatori stabiliti in altri Stati membri caricano nel fascicolo virtuale i dati e le informazioni utili alla comprova del requisito, se disponibili. </w:t>
      </w:r>
    </w:p>
    <w:p w14:paraId="17E03D75"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0A274A5"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Requisiti del gruppo di lavoro</w:t>
      </w:r>
    </w:p>
    <w:p w14:paraId="436187D4"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il professionista che espleta l’incarico oggetto dell’appalto</w:t>
      </w:r>
    </w:p>
    <w:p w14:paraId="0FA4981A" w14:textId="77777777" w:rsidR="0076366E" w:rsidRPr="00AF38A8" w:rsidRDefault="00BA3D28" w:rsidP="00BD1359">
      <w:pPr>
        <w:numPr>
          <w:ilvl w:val="0"/>
          <w:numId w:val="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Iscrizione agli appositi albi professionali previsti per l’esercizio dell’attività oggetto di appalto del soggetto personalmente responsabile dell’incarico.</w:t>
      </w:r>
    </w:p>
    <w:p w14:paraId="386BC6E2" w14:textId="6B82CC01" w:rsidR="0076366E" w:rsidRPr="00AF38A8" w:rsidRDefault="00BA3D28" w:rsidP="00BD1359">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bookmarkStart w:id="75" w:name="_heading=h.45jfvxd" w:colFirst="0" w:colLast="0"/>
      <w:bookmarkEnd w:id="75"/>
      <w:r w:rsidRPr="00AF38A8">
        <w:rPr>
          <w:rFonts w:asciiTheme="minorHAnsi" w:eastAsia="Times New Roman" w:hAnsiTheme="minorHAnsi" w:cstheme="minorHAnsi"/>
          <w:sz w:val="24"/>
          <w:szCs w:val="24"/>
        </w:rPr>
        <w:t>Il concorrente non stabilito in Italia ma in altro Stato Membro o in uno dei Paesi di cui all’art. 100 del Codice, presenta iscrizione ad apposito albo corrispondente previsto dalla legislazione nazionale di appartenenza o dichiarazione giurata o secondo le modalità vigenti nello Stato nel quale è stabilito. Il concorrente indica, nelle dichiarazioni</w:t>
      </w:r>
      <w:r w:rsidR="0020690A">
        <w:rPr>
          <w:rFonts w:asciiTheme="minorHAnsi" w:eastAsia="Times New Roman" w:hAnsiTheme="minorHAnsi" w:cstheme="minorHAnsi"/>
          <w:sz w:val="24"/>
          <w:szCs w:val="24"/>
        </w:rPr>
        <w:t xml:space="preserve"> di cui al punto 15.1</w:t>
      </w:r>
      <w:r w:rsidRPr="00AF38A8">
        <w:rPr>
          <w:rFonts w:asciiTheme="minorHAnsi" w:eastAsia="Times New Roman" w:hAnsiTheme="minorHAnsi" w:cstheme="minorHAnsi"/>
          <w:sz w:val="24"/>
          <w:szCs w:val="24"/>
        </w:rPr>
        <w:t>,</w:t>
      </w:r>
      <w:r w:rsidR="0020690A">
        <w:rPr>
          <w:rFonts w:asciiTheme="minorHAnsi" w:eastAsia="Times New Roman" w:hAnsiTheme="minorHAnsi" w:cstheme="minorHAnsi"/>
          <w:sz w:val="24"/>
          <w:szCs w:val="24"/>
        </w:rPr>
        <w:t xml:space="preserve"> n. </w:t>
      </w:r>
      <w:r w:rsidR="00B54C3C">
        <w:rPr>
          <w:rFonts w:asciiTheme="minorHAnsi" w:eastAsia="Times New Roman" w:hAnsiTheme="minorHAnsi" w:cstheme="minorHAnsi"/>
          <w:sz w:val="24"/>
          <w:szCs w:val="24"/>
        </w:rPr>
        <w:t>2</w:t>
      </w:r>
      <w:r w:rsidRPr="00AF38A8">
        <w:rPr>
          <w:rFonts w:asciiTheme="minorHAnsi" w:eastAsia="Times New Roman" w:hAnsiTheme="minorHAnsi" w:cstheme="minorHAnsi"/>
          <w:sz w:val="24"/>
          <w:szCs w:val="24"/>
        </w:rPr>
        <w:t xml:space="preserve"> il nominativo, la qualifica  professionale e gli estremi dell’iscrizione all’Albo del professionista incaricato.</w:t>
      </w:r>
    </w:p>
    <w:p w14:paraId="19B990BD"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7EF264D1"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[Nel caso di affidamento del servizio di coordinamento della sicurezza]</w:t>
      </w:r>
    </w:p>
    <w:p w14:paraId="3412B50A"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Per il professionista che espleta l’incarico di coordinatore della sicurezza in fase di  ….[la stazione appaltante specifica progettazione, esecuzione o entrambe]</w:t>
      </w:r>
    </w:p>
    <w:p w14:paraId="4CB81813" w14:textId="26A7007F" w:rsidR="0076366E" w:rsidRPr="00AF38A8" w:rsidRDefault="00BA3D28" w:rsidP="00BD1359">
      <w:pPr>
        <w:numPr>
          <w:ilvl w:val="0"/>
          <w:numId w:val="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 requisiti di cui all’art. 98 del d.lgs. </w:t>
      </w:r>
      <w:r w:rsidR="00081DBD">
        <w:rPr>
          <w:rFonts w:asciiTheme="minorHAnsi" w:eastAsia="Times New Roman" w:hAnsiTheme="minorHAnsi" w:cstheme="minorHAnsi"/>
          <w:sz w:val="24"/>
          <w:szCs w:val="24"/>
        </w:rPr>
        <w:t xml:space="preserve">n. </w:t>
      </w:r>
      <w:r w:rsidRPr="00AF38A8">
        <w:rPr>
          <w:rFonts w:asciiTheme="minorHAnsi" w:eastAsia="Times New Roman" w:hAnsiTheme="minorHAnsi" w:cstheme="minorHAnsi"/>
          <w:sz w:val="24"/>
          <w:szCs w:val="24"/>
        </w:rPr>
        <w:t>81/2008.</w:t>
      </w:r>
    </w:p>
    <w:p w14:paraId="4D8069C4" w14:textId="588F4D92" w:rsidR="0076366E" w:rsidRPr="00AF38A8" w:rsidRDefault="00BA3D28" w:rsidP="00BD1359">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concorrente indica, nelle dichiarazioni di cui al punto 15.1 n. </w:t>
      </w:r>
      <w:r w:rsidR="001C0C64">
        <w:rPr>
          <w:rFonts w:asciiTheme="minorHAnsi" w:eastAsia="Times New Roman" w:hAnsiTheme="minorHAnsi" w:cstheme="minorHAnsi"/>
          <w:sz w:val="24"/>
          <w:szCs w:val="24"/>
        </w:rPr>
        <w:t>3</w:t>
      </w:r>
      <w:r w:rsidRPr="00AF38A8">
        <w:rPr>
          <w:rFonts w:asciiTheme="minorHAnsi" w:eastAsia="Times New Roman" w:hAnsiTheme="minorHAnsi" w:cstheme="minorHAnsi"/>
          <w:sz w:val="24"/>
          <w:szCs w:val="24"/>
        </w:rPr>
        <w:t>, i dati relativi al possesso, in capo al professionista, dei requisiti suddetti.</w:t>
      </w:r>
    </w:p>
    <w:p w14:paraId="52666E60"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3EA5417A"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[Nel caso sia richiesta la redazione della relazione geologica]</w:t>
      </w:r>
    </w:p>
    <w:p w14:paraId="64CDAEAC"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Per il geologo che redige la relazione geologica</w:t>
      </w:r>
    </w:p>
    <w:p w14:paraId="41B2F605" w14:textId="77777777" w:rsidR="0076366E" w:rsidRPr="00AF38A8" w:rsidRDefault="00BA3D28" w:rsidP="00BD1359">
      <w:pPr>
        <w:numPr>
          <w:ilvl w:val="0"/>
          <w:numId w:val="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requisito di iscrizione al relativo albo professionale.</w:t>
      </w:r>
    </w:p>
    <w:p w14:paraId="0994E91F" w14:textId="69ACE367" w:rsidR="0076366E" w:rsidRPr="00AF38A8" w:rsidRDefault="00BA3D28" w:rsidP="00BD1359">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concorrente indica, nelle dichiarazioni di cui al punto 15.1 n. </w:t>
      </w:r>
      <w:r w:rsidR="001C0C64">
        <w:rPr>
          <w:rFonts w:asciiTheme="minorHAnsi" w:eastAsia="Times New Roman" w:hAnsiTheme="minorHAnsi" w:cstheme="minorHAnsi"/>
          <w:sz w:val="24"/>
          <w:szCs w:val="24"/>
        </w:rPr>
        <w:t>4</w:t>
      </w:r>
      <w:r w:rsidRPr="00AF38A8">
        <w:rPr>
          <w:rFonts w:asciiTheme="minorHAnsi" w:eastAsia="Times New Roman" w:hAnsiTheme="minorHAnsi" w:cstheme="minorHAnsi"/>
          <w:sz w:val="24"/>
          <w:szCs w:val="24"/>
        </w:rPr>
        <w:t>, il nominativo e gli estremi dell’iscrizione all’Albo del professionista e ne specifica la forma di partecipazione tra quelle di seguito indicate:</w:t>
      </w:r>
    </w:p>
    <w:p w14:paraId="30C012CB" w14:textId="77777777" w:rsidR="0076366E" w:rsidRPr="00AF38A8" w:rsidRDefault="00BA3D28" w:rsidP="00BD1359">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componente di un raggruppamento temporaneo;</w:t>
      </w:r>
    </w:p>
    <w:p w14:paraId="539DC8FE" w14:textId="77777777" w:rsidR="0076366E" w:rsidRPr="00AF38A8" w:rsidRDefault="00BA3D28" w:rsidP="00BD1359">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associato di una associazione tra professionisti;</w:t>
      </w:r>
    </w:p>
    <w:p w14:paraId="67348A8B" w14:textId="77777777" w:rsidR="0076366E" w:rsidRPr="00AF38A8" w:rsidRDefault="00BA3D28" w:rsidP="00BD1359">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socio/amministratore/direttore tecnico di una società di professionisti o di ingegneria</w:t>
      </w:r>
    </w:p>
    <w:p w14:paraId="65B3E144" w14:textId="289CD77D" w:rsidR="0076366E" w:rsidRDefault="00BA3D28" w:rsidP="00BD1359">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dall’allegato II.12, parte V.</w:t>
      </w:r>
    </w:p>
    <w:p w14:paraId="24038D8F" w14:textId="77777777" w:rsidR="001C0C64" w:rsidRPr="00AF38A8" w:rsidRDefault="001C0C64" w:rsidP="00BD1359">
      <w:pPr>
        <w:pBdr>
          <w:top w:val="nil"/>
          <w:left w:val="nil"/>
          <w:bottom w:val="nil"/>
          <w:right w:val="nil"/>
          <w:between w:val="nil"/>
        </w:pBdr>
        <w:spacing w:line="276" w:lineRule="auto"/>
        <w:ind w:left="720"/>
        <w:jc w:val="both"/>
        <w:rPr>
          <w:rFonts w:asciiTheme="minorHAnsi" w:eastAsia="Times New Roman" w:hAnsiTheme="minorHAnsi" w:cstheme="minorHAnsi"/>
          <w:sz w:val="24"/>
          <w:szCs w:val="24"/>
        </w:rPr>
      </w:pPr>
    </w:p>
    <w:p w14:paraId="40D5E7B0"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[Nel caso sia richiesta l’abilitazione antincendio]</w:t>
      </w:r>
    </w:p>
    <w:p w14:paraId="692619AF"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Per il professionista antincendio</w:t>
      </w:r>
    </w:p>
    <w:p w14:paraId="75B44B1A" w14:textId="77777777" w:rsidR="0076366E" w:rsidRPr="00AF38A8" w:rsidRDefault="00BA3D28" w:rsidP="00BD1359">
      <w:pPr>
        <w:numPr>
          <w:ilvl w:val="0"/>
          <w:numId w:val="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iscrizione nell’elenco del Ministero dell’interno ai sensi dell’art. 16 del d. lgs. 139 del 8 marzo 2006 come professionista antincendio.</w:t>
      </w:r>
    </w:p>
    <w:p w14:paraId="20B2204E" w14:textId="243FABC0" w:rsidR="0076366E" w:rsidRPr="00AF38A8" w:rsidRDefault="00BA3D28" w:rsidP="00BD1359">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concorrente indica, nelle dichiarazioni di cui al punto 15.1 n. </w:t>
      </w:r>
      <w:r w:rsidR="001C0C64">
        <w:rPr>
          <w:rFonts w:asciiTheme="minorHAnsi" w:eastAsia="Times New Roman" w:hAnsiTheme="minorHAnsi" w:cstheme="minorHAnsi"/>
          <w:sz w:val="24"/>
          <w:szCs w:val="24"/>
        </w:rPr>
        <w:t>5</w:t>
      </w:r>
      <w:r w:rsidRPr="00AF38A8">
        <w:rPr>
          <w:rFonts w:asciiTheme="minorHAnsi" w:eastAsia="Times New Roman" w:hAnsiTheme="minorHAnsi" w:cstheme="minorHAnsi"/>
          <w:sz w:val="24"/>
          <w:szCs w:val="24"/>
        </w:rPr>
        <w:t>, il nominativo del professionista e gli estremi dell’iscrizione all’elenco.</w:t>
      </w:r>
    </w:p>
    <w:p w14:paraId="6C8E0D8D" w14:textId="77777777" w:rsidR="0076366E" w:rsidRPr="00AF38A8" w:rsidRDefault="00BA3D28" w:rsidP="00BD1359">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tbl>
      <w:tblPr>
        <w:tblStyle w:val="affd"/>
        <w:tblW w:w="9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BA3D28" w:rsidRPr="00AF38A8" w14:paraId="33103C0A" w14:textId="77777777">
        <w:tc>
          <w:tcPr>
            <w:tcW w:w="9632" w:type="dxa"/>
            <w:shd w:val="clear" w:color="auto" w:fill="FFFFFF"/>
          </w:tcPr>
          <w:p w14:paraId="20AAC36D"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b/>
                <w:szCs w:val="24"/>
              </w:rPr>
            </w:pPr>
            <w:r w:rsidRPr="00E96DFB">
              <w:rPr>
                <w:rFonts w:asciiTheme="minorHAnsi" w:eastAsia="Times New Roman" w:hAnsiTheme="minorHAnsi" w:cstheme="minorHAnsi"/>
                <w:b/>
                <w:szCs w:val="24"/>
              </w:rPr>
              <w:t>Allegato II.12. Parte V</w:t>
            </w:r>
          </w:p>
          <w:p w14:paraId="5217E0F9"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b/>
                <w:szCs w:val="24"/>
              </w:rPr>
            </w:pPr>
            <w:r w:rsidRPr="00E96DFB">
              <w:rPr>
                <w:rFonts w:asciiTheme="minorHAnsi" w:eastAsia="Times New Roman" w:hAnsiTheme="minorHAnsi" w:cstheme="minorHAnsi"/>
                <w:b/>
                <w:szCs w:val="24"/>
              </w:rPr>
              <w:t>Requisiti dei professionisti singoli o associati.</w:t>
            </w:r>
          </w:p>
          <w:p w14:paraId="791E8905"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Devono possedere i seguenti requisiti:</w:t>
            </w:r>
          </w:p>
          <w:p w14:paraId="237B797B" w14:textId="77777777" w:rsidR="0076366E" w:rsidRPr="00E96DFB" w:rsidRDefault="00BA3D28" w:rsidP="00BD1359">
            <w:pPr>
              <w:numPr>
                <w:ilvl w:val="0"/>
                <w:numId w:val="4"/>
              </w:num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essere in possesso di laurea in ingegneria o architettura o in una disciplina tecnica attinente all'attività prevalente oggetto del bando di gara, oppure, nelle procedure di affidamento di servizi che non richiedono il possesso di laurea, essere in possesso di diploma di geometra o altro diploma tecnico attinente alla tipologia dei servizi da prestare, nel rispetto dei relativi ordinamenti professionali;</w:t>
            </w:r>
          </w:p>
          <w:p w14:paraId="52F0367B" w14:textId="77777777" w:rsidR="0076366E" w:rsidRPr="00E96DFB" w:rsidRDefault="00BA3D28" w:rsidP="00BD1359">
            <w:pPr>
              <w:numPr>
                <w:ilvl w:val="0"/>
                <w:numId w:val="4"/>
              </w:num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essere abilitati all'esercizio della professione nonché iscritti, al momento della partecipazione alla gara, al relativo albo professionale previsto dai vigenti ordinamenti, ovvero abilitati all'esercizio della professione secondo le norme dei Paesi dell'Unione europea cui appartiene il soggetto.</w:t>
            </w:r>
          </w:p>
          <w:p w14:paraId="6466DB82"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b/>
                <w:szCs w:val="24"/>
              </w:rPr>
              <w:t>Requisiti delle società di professionisti.</w:t>
            </w:r>
          </w:p>
          <w:p w14:paraId="58FFE75C"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Devono possedere i seguenti requisiti:</w:t>
            </w:r>
          </w:p>
          <w:p w14:paraId="6C5BAC28"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a) organigramma aggiornato comprendente i soggetti direttamente impiegati nello svolgimento di funzioni professionali e tecniche, nonché di controllo della qualità e in particolare:</w:t>
            </w:r>
          </w:p>
          <w:p w14:paraId="13E85E6A"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1) i soci;</w:t>
            </w:r>
            <w:r w:rsidRPr="00E96DFB">
              <w:rPr>
                <w:rFonts w:asciiTheme="minorHAnsi" w:eastAsia="Times New Roman" w:hAnsiTheme="minorHAnsi" w:cstheme="minorHAnsi"/>
                <w:szCs w:val="24"/>
              </w:rPr>
              <w:br/>
              <w:t>2) gli amministratori;</w:t>
            </w:r>
            <w:r w:rsidRPr="00E96DFB">
              <w:rPr>
                <w:rFonts w:asciiTheme="minorHAnsi" w:eastAsia="Times New Roman" w:hAnsiTheme="minorHAnsi" w:cstheme="minorHAnsi"/>
                <w:szCs w:val="24"/>
              </w:rPr>
              <w:br/>
              <w:t>3) i dipendenti;</w:t>
            </w:r>
            <w:r w:rsidRPr="00E96DFB">
              <w:rPr>
                <w:rFonts w:asciiTheme="minorHAnsi" w:eastAsia="Times New Roman" w:hAnsiTheme="minorHAnsi" w:cstheme="minorHAnsi"/>
                <w:szCs w:val="24"/>
              </w:rPr>
              <w:br/>
              <w:t>4) i consulenti su base annua, muniti di partita IVA, che firmano i progetti, o i rapporti di verifica dei progetti, o fanno parte dell'ufficio di direzione lavori e che hanno fatturato nei confronti della società una quota superiore al 50 per cento del proprio fatturato annuo risultante dall'ultima dichiarazione IVA;</w:t>
            </w:r>
          </w:p>
          <w:p w14:paraId="547AC0EE"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b) l'organigramma di cui alla lettera a) riporta, altresì, l'indicazione delle specifiche competenze e responsabilità.</w:t>
            </w:r>
          </w:p>
          <w:p w14:paraId="04483BB0"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b/>
                <w:szCs w:val="24"/>
              </w:rPr>
              <w:t>Requisiti delle società di ingegneria.</w:t>
            </w:r>
          </w:p>
          <w:p w14:paraId="62267E84"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Sono tenute a disporre di almeno un direttore tecnico con funzioni di collaborazione alla definizione degli indirizzi strategici del soggetto cui fa capo, di collaborazione e controllo delle prestazioni svolte dai tecnici incaricati delle progettazioni.</w:t>
            </w:r>
          </w:p>
          <w:p w14:paraId="79D074E7"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lastRenderedPageBreak/>
              <w:t>Il direttore tecnico deve essere in possesso dei seguenti requisiti:</w:t>
            </w:r>
          </w:p>
          <w:p w14:paraId="4D21B1C9"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a) laurea in ingegneria o architettura o in una disciplina tecnica attinente all'attività prevalente svolta dalla società;</w:t>
            </w:r>
            <w:r w:rsidRPr="00E96DFB">
              <w:rPr>
                <w:rFonts w:asciiTheme="minorHAnsi" w:eastAsia="Times New Roman" w:hAnsiTheme="minorHAnsi" w:cstheme="minorHAnsi"/>
                <w:szCs w:val="24"/>
              </w:rPr>
              <w:br/>
              <w:t>b) abilitazione all'esercizio della professione da almeno dieci anni nonché iscrizione, al momento dell'assunzione dell'incarico, al relativo albo professionale previsto  dai vigenti ordinamenti, ovvero abilitato all'esercizio della professione secondo le norme dei Paesi dell'Unione europea cui appartiene il soggetto.</w:t>
            </w:r>
          </w:p>
          <w:p w14:paraId="20AE4D34"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b/>
                <w:szCs w:val="24"/>
              </w:rPr>
              <w:t>Requisiti degli altri soggetti abilitati in forza del diritto nazionale a offrire sul mercato servizi di ingegneria e di architettura.</w:t>
            </w:r>
          </w:p>
          <w:p w14:paraId="59D48DEB"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Sono tenuti a:</w:t>
            </w:r>
          </w:p>
          <w:p w14:paraId="4A555BE5" w14:textId="77777777" w:rsidR="0076366E" w:rsidRPr="00E96DFB" w:rsidRDefault="00BA3D28" w:rsidP="00BD1359">
            <w:pPr>
              <w:numPr>
                <w:ilvl w:val="0"/>
                <w:numId w:val="2"/>
              </w:num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ricomprendere nell’oggetto sociale le prestazioni di servizi attinenti all’architettura e all’ingegneria;</w:t>
            </w:r>
          </w:p>
          <w:p w14:paraId="47B32CC5" w14:textId="77777777" w:rsidR="0076366E" w:rsidRPr="00E96DFB" w:rsidRDefault="00BA3D28" w:rsidP="00BD1359">
            <w:pPr>
              <w:numPr>
                <w:ilvl w:val="0"/>
                <w:numId w:val="2"/>
              </w:num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predisporre e aggiornare il proprio organigramma comprendente le persone direttamente impiegate nello svolgimento di funzioni professionali e tecniche, nonché di controllo della qualità con l’indicazione delle specifiche competenze e responsabilità, includendo, tenuto conto della propria  natura giuridica:</w:t>
            </w:r>
          </w:p>
          <w:p w14:paraId="3FC94D78" w14:textId="77777777" w:rsidR="0076366E" w:rsidRPr="00E96DFB" w:rsidRDefault="00BA3D28" w:rsidP="00BD1359">
            <w:pPr>
              <w:pBdr>
                <w:top w:val="nil"/>
                <w:left w:val="nil"/>
                <w:bottom w:val="nil"/>
                <w:right w:val="nil"/>
                <w:between w:val="nil"/>
              </w:pBdr>
              <w:spacing w:line="276" w:lineRule="auto"/>
              <w:ind w:left="720"/>
              <w:rPr>
                <w:rFonts w:asciiTheme="minorHAnsi" w:eastAsia="Times New Roman" w:hAnsiTheme="minorHAnsi" w:cstheme="minorHAnsi"/>
                <w:szCs w:val="24"/>
              </w:rPr>
            </w:pPr>
            <w:r w:rsidRPr="00E96DFB">
              <w:rPr>
                <w:rFonts w:asciiTheme="minorHAnsi" w:eastAsia="Times New Roman" w:hAnsiTheme="minorHAnsi" w:cstheme="minorHAnsi"/>
                <w:szCs w:val="24"/>
              </w:rPr>
              <w:t>1) legale rappresentante;</w:t>
            </w:r>
            <w:r w:rsidRPr="00E96DFB">
              <w:rPr>
                <w:rFonts w:asciiTheme="minorHAnsi" w:eastAsia="Times New Roman" w:hAnsiTheme="minorHAnsi" w:cstheme="minorHAnsi"/>
                <w:szCs w:val="24"/>
              </w:rPr>
              <w:br/>
              <w:t>2) amministratori;</w:t>
            </w:r>
            <w:r w:rsidRPr="00E96DFB">
              <w:rPr>
                <w:rFonts w:asciiTheme="minorHAnsi" w:eastAsia="Times New Roman" w:hAnsiTheme="minorHAnsi" w:cstheme="minorHAnsi"/>
                <w:szCs w:val="24"/>
              </w:rPr>
              <w:br/>
              <w:t>3) soci, soci fondatori, associati;</w:t>
            </w:r>
            <w:r w:rsidRPr="00E96DFB">
              <w:rPr>
                <w:rFonts w:asciiTheme="minorHAnsi" w:eastAsia="Times New Roman" w:hAnsiTheme="minorHAnsi" w:cstheme="minorHAnsi"/>
                <w:szCs w:val="24"/>
              </w:rPr>
              <w:br/>
              <w:t>4) dipendenti;</w:t>
            </w:r>
            <w:r w:rsidRPr="00E96DFB">
              <w:rPr>
                <w:rFonts w:asciiTheme="minorHAnsi" w:eastAsia="Times New Roman" w:hAnsiTheme="minorHAnsi" w:cstheme="minorHAnsi"/>
                <w:szCs w:val="24"/>
              </w:rPr>
              <w:br/>
              <w:t>5) consulenti su base annua, muniti di partita IVA, che firmano i progetti, o i rapporti di verifica dei progetti, o fanno parte dell’ufficio di direzione lavori e che hanno fatturato nei confronti dei soggetti di cui al comma 1 una quota superiore al 50 per cento del proprio fatturato annuo, risultante dall’ultima dichiarazione IVA;</w:t>
            </w:r>
          </w:p>
          <w:p w14:paraId="28ADCE82" w14:textId="77777777" w:rsidR="0076366E" w:rsidRPr="00E96DFB" w:rsidRDefault="00BA3D28" w:rsidP="00BD1359">
            <w:pPr>
              <w:numPr>
                <w:ilvl w:val="0"/>
                <w:numId w:val="2"/>
              </w:num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disporre di almeno un direttore tecnico, formalmente consultato dall’organo di amministrazione dei soggetti di cui al comma 1 per la definizione degli indirizzi strategici dei medesimi, e per la partecipazione a gare per l’affidamento di servizi di ingegneria e architettura, con funzioni di collaborazione e controllo delle prestazioni svolte dai tecnici incaricati delle progettazioni. Il direttore tecnico deve essere in possesso dei seguenti requisiti:</w:t>
            </w:r>
          </w:p>
          <w:p w14:paraId="2ED829DE" w14:textId="77777777" w:rsidR="0076366E" w:rsidRPr="00E96DFB" w:rsidRDefault="00BA3D28" w:rsidP="00BD1359">
            <w:pPr>
              <w:pBdr>
                <w:top w:val="nil"/>
                <w:left w:val="nil"/>
                <w:bottom w:val="nil"/>
                <w:right w:val="nil"/>
                <w:between w:val="nil"/>
              </w:pBdr>
              <w:spacing w:line="276" w:lineRule="auto"/>
              <w:ind w:left="720"/>
              <w:rPr>
                <w:rFonts w:asciiTheme="minorHAnsi" w:eastAsia="Times New Roman" w:hAnsiTheme="minorHAnsi" w:cstheme="minorHAnsi"/>
                <w:szCs w:val="24"/>
              </w:rPr>
            </w:pPr>
            <w:r w:rsidRPr="00E96DFB">
              <w:rPr>
                <w:rFonts w:asciiTheme="minorHAnsi" w:eastAsia="Times New Roman" w:hAnsiTheme="minorHAnsi" w:cstheme="minorHAnsi"/>
                <w:szCs w:val="24"/>
              </w:rPr>
              <w:t>a) laurea in ingegneria o architettura o in una disciplina tecnica attinente alla tipologia dei servizi tecnici da prestare;</w:t>
            </w:r>
            <w:r w:rsidRPr="00E96DFB">
              <w:rPr>
                <w:rFonts w:asciiTheme="minorHAnsi" w:eastAsia="Times New Roman" w:hAnsiTheme="minorHAnsi" w:cstheme="minorHAnsi"/>
                <w:szCs w:val="24"/>
              </w:rPr>
              <w:br/>
              <w:t>b) abilitazione all’esercizio della professione da almeno dieci anni nonché iscrizione, al momento dell’assunzione dell’incarico, al relativo albo professionale previsto dai vigenti ordinamenti, ovvero abilitazione all’esercizio della professione secondo le norme dello Stato dell’Unione europea di appartenenza del soggetto di cui al comma 1;</w:t>
            </w:r>
            <w:r w:rsidRPr="00E96DFB">
              <w:rPr>
                <w:rFonts w:asciiTheme="minorHAnsi" w:eastAsia="Times New Roman" w:hAnsiTheme="minorHAnsi" w:cstheme="minorHAnsi"/>
                <w:szCs w:val="24"/>
              </w:rPr>
              <w:br/>
              <w:t>c) essere in regola con gli obblighi contributivi, assicurativi e di aggiornamento professionale previsti dalle norme legislative vigenti.</w:t>
            </w:r>
          </w:p>
          <w:p w14:paraId="35CAFEEB" w14:textId="77777777" w:rsidR="0076366E" w:rsidRPr="00E96DFB" w:rsidRDefault="00BA3D28" w:rsidP="00BD1359">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I soggetti abilitati in forza del diritto nazionale a offrire sul mercato servizi di ingegneria e di architettura delegano il compito di approvare e controfirmare gli elaborati tecnici inerenti alle prestazioni oggetto dell’affidamento al direttore tecnico o ad altro ingegnere o architetto dipendente dagli stessi e avente i medesimi requisiti. L’approvazione e la firma degli elaborati comportano la responsabilità solidale del direttore tecnico o del delegato con i suddetti soggetti nei confronti della stazione appaltante.</w:t>
            </w:r>
          </w:p>
          <w:p w14:paraId="47A24BF9" w14:textId="77777777" w:rsidR="0076366E" w:rsidRPr="00E96DFB" w:rsidRDefault="00BA3D28" w:rsidP="00BD1359">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 xml:space="preserve">Fermo restando quanto previsto in materia di DURC dalla legislazione vigente, ovvero dalle certificazioni di regolarità rilasciate dagli enti previdenziali di riferimento non aderenti al sistema dello sportello unico </w:t>
            </w:r>
            <w:r w:rsidRPr="00E96DFB">
              <w:rPr>
                <w:rFonts w:asciiTheme="minorHAnsi" w:eastAsia="Times New Roman" w:hAnsiTheme="minorHAnsi" w:cstheme="minorHAnsi"/>
                <w:szCs w:val="24"/>
              </w:rPr>
              <w:lastRenderedPageBreak/>
              <w:t>previdenziale, alle attività professionali prestate da tali soggetti si applica il contributo integrativo qualora previsto dalle norme legislative che regolano la cassa di previdenza di categoria di pertinenza cui ciascun firmatario del progetto fa riferimento in forza della iscrizione obbligatoria al relativo albo professionale. Detto contributo è versato pro quota alle rispettive casse secondo gli ordinamenti statutari e i regolamenti vigenti.</w:t>
            </w:r>
          </w:p>
          <w:p w14:paraId="384957B0"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b/>
                <w:szCs w:val="24"/>
              </w:rPr>
            </w:pPr>
            <w:r w:rsidRPr="00E96DFB">
              <w:rPr>
                <w:rFonts w:asciiTheme="minorHAnsi" w:eastAsia="Times New Roman" w:hAnsiTheme="minorHAnsi" w:cstheme="minorHAnsi"/>
                <w:b/>
                <w:szCs w:val="24"/>
              </w:rPr>
              <w:t>Requisiti dei consorzi stabili di società di professionisti e di società di ingegneria e dei GEIE.</w:t>
            </w:r>
          </w:p>
          <w:p w14:paraId="70B5D8AC"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 xml:space="preserve">Per i consorzi stabili di società di professionisti e di società di ingegneria e per i GEIE, costituiti ai sensi dell'articolo 66, comma 1, lettere a) e g), del codice, i requisiti di cui agli articoli 35 e 36 dell’allegato </w:t>
            </w:r>
            <w:r w:rsidRPr="00E96DFB">
              <w:rPr>
                <w:rFonts w:asciiTheme="minorHAnsi" w:eastAsia="Times New Roman" w:hAnsiTheme="minorHAnsi" w:cstheme="minorHAnsi"/>
                <w:b/>
                <w:szCs w:val="24"/>
              </w:rPr>
              <w:t xml:space="preserve">II.12 </w:t>
            </w:r>
            <w:r w:rsidRPr="00E96DFB">
              <w:rPr>
                <w:rFonts w:asciiTheme="minorHAnsi" w:eastAsia="Times New Roman" w:hAnsiTheme="minorHAnsi" w:cstheme="minorHAnsi"/>
                <w:szCs w:val="24"/>
              </w:rPr>
              <w:t>devono essere posseduti dai consorziati o partecipanti ai GEIE.</w:t>
            </w:r>
          </w:p>
          <w:p w14:paraId="0B46213E" w14:textId="77777777" w:rsidR="0076366E" w:rsidRPr="00E96DFB" w:rsidRDefault="00BA3D28" w:rsidP="00BD1359">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I consorzi stabili di società di professionisti e di società di ingegneria, anche in forma mista, devono essere formati da non meno di tre consorziati che abbiano operato nei settori dei servizi di ingegneria e architettura.</w:t>
            </w:r>
          </w:p>
          <w:p w14:paraId="1C760A96" w14:textId="77777777" w:rsidR="0076366E" w:rsidRPr="00E96DFB" w:rsidRDefault="00BA3D28" w:rsidP="00BD1359">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b/>
                <w:szCs w:val="24"/>
              </w:rPr>
              <w:t>Requisiti dei raggruppamenti temporanei.</w:t>
            </w:r>
          </w:p>
          <w:p w14:paraId="7780E5C5" w14:textId="77777777" w:rsidR="0076366E" w:rsidRPr="00E96DFB" w:rsidRDefault="00BA3D28" w:rsidP="00BD1359">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 xml:space="preserve">Ferme restando le disposizioni di cui all'articolo 68 del codice, per i raggruppamenti temporanei costituiti dai soggetti di cui all'articolo 66, comma 1, lettera f), del codice, i requisiti di cui agli articoli 35 e 36 dell’allegato </w:t>
            </w:r>
            <w:r w:rsidRPr="00E96DFB">
              <w:rPr>
                <w:rFonts w:asciiTheme="minorHAnsi" w:eastAsia="Times New Roman" w:hAnsiTheme="minorHAnsi" w:cstheme="minorHAnsi"/>
                <w:b/>
                <w:szCs w:val="24"/>
              </w:rPr>
              <w:t xml:space="preserve"> II.12 </w:t>
            </w:r>
            <w:r w:rsidRPr="00E96DFB">
              <w:rPr>
                <w:rFonts w:asciiTheme="minorHAnsi" w:eastAsia="Times New Roman" w:hAnsiTheme="minorHAnsi" w:cstheme="minorHAnsi"/>
                <w:szCs w:val="24"/>
              </w:rPr>
              <w:t>devono essere posseduti dai partecipanti al raggruppamento. I raggruppamenti temporanei, inoltre, devono prevedere la presenza di almeno un giovane professionista, laureato abilitato da meno di cinque anni all'esercizio della professione secondo le norme dello Stato membro dell'Unione europea di residenza, quale progettista. Per le procedure di affidamento che non richiedono il possesso del diploma di laurea, il giovane deve essere in possesso di diploma di geometra o altro diploma tecnico attinente alla tipologia dei servizi da prestare abilitato da meno di cinque anni all'esercizio della professione secondo le norme dello Stato membro dell'Unione europea di residenza, nel rispetto dei relativi ordini professionali. I requisiti del giovane non concorrono alla formazione dei requisiti di partecipazione richiesti dai committenti.</w:t>
            </w:r>
          </w:p>
          <w:p w14:paraId="26FBA922" w14:textId="77777777" w:rsidR="0076366E" w:rsidRPr="00E96DFB" w:rsidRDefault="00BA3D28" w:rsidP="00BD1359">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Ferma restando l'iscrizione al relativo albo professionale, il progettista presente nel raggruppamento può essere:</w:t>
            </w:r>
          </w:p>
          <w:p w14:paraId="1F944CDA" w14:textId="77777777" w:rsidR="0076366E" w:rsidRPr="00E96DFB" w:rsidRDefault="00BA3D28" w:rsidP="00BD1359">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a) un libero professionista singolo o associato;</w:t>
            </w:r>
          </w:p>
          <w:p w14:paraId="17551653" w14:textId="77777777" w:rsidR="0076366E" w:rsidRPr="00E96DFB" w:rsidRDefault="00BA3D28" w:rsidP="00BD1359">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b) con riferimento alle società di cui agli articoli 35 e 36 dell’allegato II.12, un amministratore, un socio, un dipendente o un consulente su base annua che abbia fatturato nei confronti della società una quota superiore al 50 per cento del proprio fatturato annuo risultante dall'ultima dichiarazione IVA;</w:t>
            </w:r>
          </w:p>
          <w:p w14:paraId="36461A70" w14:textId="77777777" w:rsidR="0076366E" w:rsidRPr="00E96DFB" w:rsidRDefault="00BA3D28" w:rsidP="00BD1359">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c) con riferimento ai prestatori di servizi attinenti all’architettura e l'ingegneria di altri Stati membri, un soggetto avente caratteristiche equivalenti, conformemente alla legislazione vigente nello Stato membro dell'Unione europea in cui è stabilito, ai soggetti indicati alla lettera a), se libero professionista singolo o associato, ovvero alla lettera b), se costituito in forma societaria.</w:t>
            </w:r>
          </w:p>
          <w:p w14:paraId="3A70FB93" w14:textId="77777777" w:rsidR="0076366E" w:rsidRPr="00E96DFB" w:rsidRDefault="00BA3D28" w:rsidP="00BD1359">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Per i raggruppamenti temporanei costituiti dai soggetti di cui all’articolo 66, comma 1, lettera e), del codice:</w:t>
            </w:r>
          </w:p>
          <w:p w14:paraId="1B701BC8" w14:textId="77777777" w:rsidR="0076366E" w:rsidRPr="00E96DFB" w:rsidRDefault="00BA3D28" w:rsidP="00BD1359">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a) i requisiti minimi dei soggetti di cui all’articolo 37, comma 1,  dell’allegato II.12 devono essere posseduti dai partecipanti al raggruppamento;</w:t>
            </w:r>
          </w:p>
          <w:p w14:paraId="36E69848" w14:textId="77777777" w:rsidR="0076366E" w:rsidRPr="00E96DFB" w:rsidRDefault="00BA3D28" w:rsidP="00BD1359">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b) il giovane professionista presente nel raggruppamento può rivestire una delle qualifiche indicate all’articolo 37, comma 2, lettera a) dell’allegato II.12, ferma restando l’iscrizione al relativo albo professionale;</w:t>
            </w:r>
          </w:p>
          <w:p w14:paraId="476CC6B7"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E96DFB">
              <w:rPr>
                <w:rFonts w:asciiTheme="minorHAnsi" w:eastAsia="Times New Roman" w:hAnsiTheme="minorHAnsi" w:cstheme="minorHAnsi"/>
                <w:szCs w:val="24"/>
              </w:rPr>
              <w:t xml:space="preserve">c) con riferimento ai prestatori di servizi di architettura e ingegneria di altri Stati membri, il giovane professionista presente nel raggruppamento può avere anche caratteristiche equivalenti ai progettisti </w:t>
            </w:r>
            <w:r w:rsidRPr="00E96DFB">
              <w:rPr>
                <w:rFonts w:asciiTheme="minorHAnsi" w:eastAsia="Times New Roman" w:hAnsiTheme="minorHAnsi" w:cstheme="minorHAnsi"/>
                <w:szCs w:val="24"/>
              </w:rPr>
              <w:lastRenderedPageBreak/>
              <w:t>individuati alla lettera b), ove contemplati nel proprio organigramma, conformemente alla legislazione vigente nello Stato membro dell'Unione europea in cui è stabilito.</w:t>
            </w:r>
          </w:p>
        </w:tc>
      </w:tr>
    </w:tbl>
    <w:p w14:paraId="10DC1225" w14:textId="77777777" w:rsidR="0076366E" w:rsidRPr="00AF38A8" w:rsidRDefault="0076366E" w:rsidP="00BD1359">
      <w:pPr>
        <w:pBdr>
          <w:top w:val="nil"/>
          <w:left w:val="nil"/>
          <w:bottom w:val="nil"/>
          <w:right w:val="nil"/>
          <w:between w:val="nil"/>
        </w:pBdr>
        <w:spacing w:line="276" w:lineRule="auto"/>
        <w:rPr>
          <w:rFonts w:asciiTheme="minorHAnsi" w:eastAsia="Times New Roman" w:hAnsiTheme="minorHAnsi" w:cstheme="minorHAnsi"/>
          <w:sz w:val="24"/>
          <w:szCs w:val="24"/>
        </w:rPr>
      </w:pPr>
    </w:p>
    <w:p w14:paraId="65B0C5FE" w14:textId="77777777" w:rsidR="0076366E"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bookmarkStart w:id="76" w:name="_Toc139277030"/>
      <w:bookmarkStart w:id="77" w:name="_Toc140929825"/>
      <w:bookmarkStart w:id="78" w:name="_Toc141027267"/>
      <w:r w:rsidRPr="00AF38A8">
        <w:rPr>
          <w:rFonts w:asciiTheme="minorHAnsi" w:eastAsia="Times New Roman" w:hAnsiTheme="minorHAnsi" w:cstheme="minorHAnsi"/>
          <w:sz w:val="24"/>
          <w:szCs w:val="24"/>
        </w:rPr>
        <w:t>Requisiti di capacità economica e finanziaria</w:t>
      </w:r>
      <w:bookmarkEnd w:id="76"/>
      <w:bookmarkEnd w:id="77"/>
      <w:bookmarkEnd w:id="78"/>
    </w:p>
    <w:p w14:paraId="76A8B79F" w14:textId="18EE3915" w:rsidR="000B3718" w:rsidRPr="00AF38A8" w:rsidRDefault="00BB51E7" w:rsidP="00BD1359">
      <w:pPr>
        <w:numPr>
          <w:ilvl w:val="0"/>
          <w:numId w:val="27"/>
        </w:numPr>
        <w:pBdr>
          <w:top w:val="nil"/>
          <w:left w:val="nil"/>
          <w:bottom w:val="nil"/>
          <w:right w:val="nil"/>
          <w:between w:val="nil"/>
        </w:pBdr>
        <w:spacing w:line="276" w:lineRule="auto"/>
        <w:jc w:val="both"/>
        <w:rPr>
          <w:rFonts w:asciiTheme="minorHAnsi" w:hAnsiTheme="minorHAnsi" w:cstheme="minorHAnsi"/>
          <w:bCs/>
          <w:color w:val="000000" w:themeColor="text1"/>
          <w:sz w:val="24"/>
          <w:szCs w:val="24"/>
        </w:rPr>
      </w:pPr>
      <w:bookmarkStart w:id="79" w:name="_heading=h.zu0gcz" w:colFirst="0" w:colLast="0"/>
      <w:bookmarkEnd w:id="79"/>
      <w:r w:rsidRPr="00AF38A8">
        <w:rPr>
          <w:rFonts w:asciiTheme="minorHAnsi" w:hAnsiTheme="minorHAnsi" w:cstheme="minorHAnsi"/>
          <w:b/>
          <w:color w:val="000000" w:themeColor="text1"/>
          <w:sz w:val="24"/>
          <w:szCs w:val="24"/>
        </w:rPr>
        <w:t>[</w:t>
      </w:r>
      <w:r w:rsidRPr="00AF38A8">
        <w:rPr>
          <w:rFonts w:asciiTheme="minorHAnsi" w:hAnsiTheme="minorHAnsi" w:cstheme="minorHAnsi"/>
          <w:b/>
          <w:i/>
          <w:iCs/>
          <w:color w:val="000000" w:themeColor="text1"/>
          <w:sz w:val="24"/>
          <w:szCs w:val="24"/>
        </w:rPr>
        <w:t>Facoltativo</w:t>
      </w:r>
      <w:r w:rsidRPr="00AF38A8">
        <w:rPr>
          <w:rFonts w:asciiTheme="minorHAnsi" w:hAnsiTheme="minorHAnsi" w:cstheme="minorHAnsi"/>
          <w:b/>
          <w:color w:val="000000" w:themeColor="text1"/>
          <w:sz w:val="24"/>
          <w:szCs w:val="24"/>
        </w:rPr>
        <w:t>]</w:t>
      </w:r>
      <w:r w:rsidRPr="00AF38A8">
        <w:rPr>
          <w:rFonts w:asciiTheme="minorHAnsi" w:hAnsiTheme="minorHAnsi" w:cstheme="minorHAnsi"/>
          <w:bCs/>
          <w:color w:val="000000" w:themeColor="text1"/>
          <w:sz w:val="24"/>
          <w:szCs w:val="24"/>
        </w:rPr>
        <w:t xml:space="preserve"> Fatturato globale non superiore al doppio del valore stimato dell’appalto, maturato nel triennio precedente a quello di indizione della procedura.</w:t>
      </w:r>
    </w:p>
    <w:p w14:paraId="73CA4CE0" w14:textId="77777777" w:rsidR="000B3718" w:rsidRPr="00AF38A8" w:rsidRDefault="00C91132" w:rsidP="00BD1359">
      <w:pPr>
        <w:pBdr>
          <w:top w:val="nil"/>
          <w:left w:val="nil"/>
          <w:bottom w:val="nil"/>
          <w:right w:val="nil"/>
          <w:between w:val="nil"/>
        </w:pBdr>
        <w:spacing w:line="276" w:lineRule="auto"/>
        <w:ind w:left="362"/>
        <w:jc w:val="both"/>
        <w:rPr>
          <w:rFonts w:asciiTheme="minorHAnsi" w:hAnsiTheme="minorHAnsi" w:cstheme="minorHAnsi"/>
          <w:bCs/>
          <w:color w:val="000000" w:themeColor="text1"/>
          <w:sz w:val="24"/>
          <w:szCs w:val="24"/>
        </w:rPr>
      </w:pPr>
      <w:r w:rsidRPr="00AF38A8">
        <w:rPr>
          <w:rFonts w:asciiTheme="minorHAnsi" w:hAnsiTheme="minorHAnsi" w:cstheme="minorHAnsi"/>
          <w:bCs/>
          <w:i/>
          <w:color w:val="000000" w:themeColor="text1"/>
          <w:sz w:val="24"/>
          <w:szCs w:val="24"/>
        </w:rPr>
        <w:t xml:space="preserve">[Nel caso di suddivisione in lotti, indicare il requisito richiesto per ciascun lotto. Nel caso in cui sia previsto un numero massimo di lotti aggiudicabili al medesimo operatore economico, il requisito </w:t>
      </w:r>
      <w:r w:rsidR="00586E20" w:rsidRPr="00AF38A8">
        <w:rPr>
          <w:rFonts w:asciiTheme="minorHAnsi" w:hAnsiTheme="minorHAnsi" w:cstheme="minorHAnsi"/>
          <w:bCs/>
          <w:i/>
          <w:color w:val="000000" w:themeColor="text1"/>
          <w:sz w:val="24"/>
          <w:szCs w:val="24"/>
        </w:rPr>
        <w:t>richiesto</w:t>
      </w:r>
      <w:r w:rsidRPr="00AF38A8">
        <w:rPr>
          <w:rFonts w:asciiTheme="minorHAnsi" w:hAnsiTheme="minorHAnsi" w:cstheme="minorHAnsi"/>
          <w:bCs/>
          <w:i/>
          <w:color w:val="000000" w:themeColor="text1"/>
          <w:sz w:val="24"/>
          <w:szCs w:val="24"/>
        </w:rPr>
        <w:t xml:space="preserve"> deve essere commisurato al numero massimo di lotti aggiudicabili di maggior valore</w:t>
      </w:r>
      <w:r w:rsidRPr="00AF38A8">
        <w:rPr>
          <w:rFonts w:asciiTheme="minorHAnsi" w:hAnsiTheme="minorHAnsi" w:cstheme="minorHAnsi"/>
          <w:bCs/>
          <w:color w:val="000000" w:themeColor="text1"/>
          <w:sz w:val="24"/>
          <w:szCs w:val="24"/>
        </w:rPr>
        <w:t>]</w:t>
      </w:r>
    </w:p>
    <w:p w14:paraId="6ECB1199" w14:textId="34C48FB8" w:rsidR="00BB51E7" w:rsidRPr="00AF38A8" w:rsidRDefault="00BB51E7" w:rsidP="00BD1359">
      <w:pPr>
        <w:pBdr>
          <w:top w:val="nil"/>
          <w:left w:val="nil"/>
          <w:bottom w:val="nil"/>
          <w:right w:val="nil"/>
          <w:between w:val="nil"/>
        </w:pBdr>
        <w:spacing w:line="276" w:lineRule="auto"/>
        <w:ind w:left="362"/>
        <w:jc w:val="both"/>
        <w:rPr>
          <w:rFonts w:asciiTheme="minorHAnsi" w:hAnsiTheme="minorHAnsi" w:cstheme="minorHAnsi"/>
          <w:bCs/>
          <w:color w:val="000000" w:themeColor="text1"/>
          <w:sz w:val="24"/>
          <w:szCs w:val="24"/>
        </w:rPr>
      </w:pPr>
      <w:r w:rsidRPr="00AF38A8">
        <w:rPr>
          <w:rFonts w:asciiTheme="minorHAnsi" w:hAnsiTheme="minorHAnsi" w:cstheme="minorHAnsi"/>
          <w:bCs/>
          <w:color w:val="000000" w:themeColor="text1"/>
          <w:sz w:val="24"/>
          <w:szCs w:val="24"/>
        </w:rPr>
        <w:t>La comprova del requisito è fornita mediante uno dei seguenti documenti:</w:t>
      </w:r>
    </w:p>
    <w:p w14:paraId="2A4463A6" w14:textId="77777777" w:rsidR="00BB51E7" w:rsidRPr="00AF38A8" w:rsidRDefault="00BB51E7" w:rsidP="00BD1359">
      <w:pPr>
        <w:pStyle w:val="Corpotesto"/>
        <w:numPr>
          <w:ilvl w:val="0"/>
          <w:numId w:val="6"/>
        </w:numPr>
        <w:tabs>
          <w:tab w:val="left" w:pos="1418"/>
        </w:tabs>
        <w:spacing w:line="276" w:lineRule="auto"/>
        <w:ind w:right="610"/>
        <w:rPr>
          <w:rFonts w:asciiTheme="minorHAnsi" w:hAnsiTheme="minorHAnsi" w:cstheme="minorHAnsi"/>
          <w:bCs/>
          <w:color w:val="000000" w:themeColor="text1"/>
        </w:rPr>
      </w:pPr>
      <w:r w:rsidRPr="00AF38A8">
        <w:rPr>
          <w:rFonts w:asciiTheme="minorHAnsi" w:hAnsiTheme="minorHAnsi" w:cstheme="minorHAnsi"/>
          <w:bCs/>
          <w:color w:val="000000" w:themeColor="text1"/>
        </w:rPr>
        <w:t>per le società di capitali mediante bilanci, o estratti di essi, approvati alla data di scadenza del termine per la presentazione delle offerte corredati della nota integrativa;</w:t>
      </w:r>
    </w:p>
    <w:p w14:paraId="6B6E79BD" w14:textId="77777777" w:rsidR="00BB51E7" w:rsidRPr="00AF38A8" w:rsidRDefault="00BB51E7" w:rsidP="00BD1359">
      <w:pPr>
        <w:pStyle w:val="Corpotesto"/>
        <w:numPr>
          <w:ilvl w:val="0"/>
          <w:numId w:val="6"/>
        </w:numPr>
        <w:tabs>
          <w:tab w:val="left" w:pos="1418"/>
        </w:tabs>
        <w:spacing w:line="276" w:lineRule="auto"/>
        <w:ind w:right="610"/>
        <w:rPr>
          <w:rFonts w:asciiTheme="minorHAnsi" w:hAnsiTheme="minorHAnsi" w:cstheme="minorHAnsi"/>
          <w:bCs/>
          <w:color w:val="000000" w:themeColor="text1"/>
        </w:rPr>
      </w:pPr>
      <w:r w:rsidRPr="00AF38A8">
        <w:rPr>
          <w:rFonts w:asciiTheme="minorHAnsi" w:hAnsiTheme="minorHAnsi" w:cstheme="minorHAnsi"/>
          <w:bCs/>
          <w:color w:val="000000" w:themeColor="text1"/>
        </w:rPr>
        <w:t>per gli operatori economici costituiti in forma d’impresa individuale ovvero di società di persone mediante copia del Modello Unico o la Dichiarazione IVA;</w:t>
      </w:r>
    </w:p>
    <w:p w14:paraId="5F5067AF" w14:textId="77777777" w:rsidR="00BB51E7" w:rsidRPr="00AF38A8" w:rsidRDefault="00BB51E7" w:rsidP="00BD1359">
      <w:pPr>
        <w:pStyle w:val="Corpotesto"/>
        <w:numPr>
          <w:ilvl w:val="0"/>
          <w:numId w:val="6"/>
        </w:numPr>
        <w:tabs>
          <w:tab w:val="left" w:pos="1418"/>
        </w:tabs>
        <w:spacing w:line="276" w:lineRule="auto"/>
        <w:ind w:right="610"/>
        <w:rPr>
          <w:rFonts w:asciiTheme="minorHAnsi" w:hAnsiTheme="minorHAnsi" w:cstheme="minorHAnsi"/>
          <w:bCs/>
          <w:color w:val="000000" w:themeColor="text1"/>
        </w:rPr>
      </w:pPr>
      <w:r w:rsidRPr="00AF38A8">
        <w:rPr>
          <w:rFonts w:asciiTheme="minorHAnsi" w:hAnsiTheme="minorHAnsi" w:cstheme="minorHAnsi"/>
          <w:bCs/>
          <w:color w:val="000000" w:themeColor="text1"/>
        </w:rPr>
        <w:t>per i liberi professionisti o associazione di professionisti mediante il Modello Unico o la Dichiarazione IVA;</w:t>
      </w:r>
    </w:p>
    <w:p w14:paraId="68862C52" w14:textId="3C8F44D5" w:rsidR="00BB51E7" w:rsidRPr="00AF38A8" w:rsidRDefault="00BB51E7" w:rsidP="00BD1359">
      <w:pPr>
        <w:pStyle w:val="Corpotesto"/>
        <w:numPr>
          <w:ilvl w:val="0"/>
          <w:numId w:val="6"/>
        </w:numPr>
        <w:tabs>
          <w:tab w:val="left" w:pos="1418"/>
        </w:tabs>
        <w:spacing w:line="276" w:lineRule="auto"/>
        <w:ind w:right="610"/>
        <w:rPr>
          <w:rFonts w:asciiTheme="minorHAnsi" w:hAnsiTheme="minorHAnsi" w:cstheme="minorHAnsi"/>
          <w:bCs/>
          <w:color w:val="000000" w:themeColor="text1"/>
        </w:rPr>
      </w:pPr>
      <w:r w:rsidRPr="00AF38A8">
        <w:rPr>
          <w:rFonts w:asciiTheme="minorHAnsi" w:hAnsiTheme="minorHAnsi" w:cstheme="minorHAnsi"/>
          <w:bCs/>
          <w:color w:val="000000" w:themeColor="text1"/>
        </w:rPr>
        <w:t>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e la tipologia (causale della fatturazione) del fatturato dichiarato in sede di partecipazione.</w:t>
      </w:r>
    </w:p>
    <w:p w14:paraId="7E5F37D4" w14:textId="77777777" w:rsidR="00BB51E7" w:rsidRPr="00AF38A8" w:rsidRDefault="00BB51E7" w:rsidP="00BD1359">
      <w:pPr>
        <w:pBdr>
          <w:top w:val="nil"/>
          <w:left w:val="nil"/>
          <w:bottom w:val="nil"/>
          <w:right w:val="nil"/>
          <w:between w:val="nil"/>
        </w:pBdr>
        <w:spacing w:line="276" w:lineRule="auto"/>
        <w:ind w:left="362"/>
        <w:jc w:val="both"/>
        <w:rPr>
          <w:rFonts w:asciiTheme="minorHAnsi" w:hAnsiTheme="minorHAnsi" w:cstheme="minorHAnsi"/>
          <w:bCs/>
          <w:color w:val="000000" w:themeColor="text1"/>
          <w:sz w:val="24"/>
          <w:szCs w:val="24"/>
        </w:rPr>
      </w:pPr>
      <w:r w:rsidRPr="00AF38A8">
        <w:rPr>
          <w:rFonts w:asciiTheme="minorHAnsi" w:hAnsiTheme="minorHAnsi" w:cstheme="minorHAnsi"/>
          <w:bCs/>
          <w:color w:val="000000" w:themeColor="text1"/>
          <w:sz w:val="24"/>
          <w:szCs w:val="24"/>
        </w:rPr>
        <w:t>Ove le informazioni sui fatturati non siano disponibili, per le imprese che abbiano iniziato l’attività da meno di tre anni, il requisito di fatturato è rapportato al periodo di attività effettivamente svolto. L’operatore economico, che per fondati motivi non è in grado di presentare le referenze richieste può provare la propria capacità economica e finanziaria mediante un qualsiasi altro documento considerato idoneo dalla stazione appaltante.</w:t>
      </w:r>
    </w:p>
    <w:p w14:paraId="1F022B1D" w14:textId="77777777" w:rsidR="00BB51E7" w:rsidRPr="00AF38A8" w:rsidRDefault="00BB51E7" w:rsidP="00BD1359">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b/>
          <w:i/>
          <w:sz w:val="24"/>
          <w:szCs w:val="24"/>
        </w:rPr>
      </w:pPr>
    </w:p>
    <w:p w14:paraId="3373E95D" w14:textId="313CC696" w:rsidR="00BB51E7" w:rsidRPr="00AF38A8" w:rsidRDefault="00BA3D28" w:rsidP="00BD1359">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 al fatturato globale</w:t>
      </w:r>
      <w:r w:rsidR="00BB51E7" w:rsidRPr="00AF38A8">
        <w:rPr>
          <w:rFonts w:asciiTheme="minorHAnsi" w:eastAsia="Times New Roman" w:hAnsiTheme="minorHAnsi" w:cstheme="minorHAnsi"/>
          <w:b/>
          <w:i/>
          <w:sz w:val="24"/>
          <w:szCs w:val="24"/>
        </w:rPr>
        <w:t xml:space="preserve"> minimo</w:t>
      </w:r>
      <w:r w:rsidRPr="00AF38A8">
        <w:rPr>
          <w:rFonts w:asciiTheme="minorHAnsi" w:eastAsia="Times New Roman" w:hAnsiTheme="minorHAnsi" w:cstheme="minorHAnsi"/>
          <w:b/>
          <w:i/>
          <w:sz w:val="24"/>
          <w:szCs w:val="24"/>
        </w:rPr>
        <w:t xml:space="preserve"> ]</w:t>
      </w:r>
    </w:p>
    <w:p w14:paraId="51F8A741" w14:textId="7C5208CB" w:rsidR="00BB51E7" w:rsidRPr="00AF38A8" w:rsidRDefault="00BB51E7" w:rsidP="00BD1359">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r w:rsidRPr="00AF38A8">
        <w:rPr>
          <w:rFonts w:asciiTheme="minorHAnsi" w:hAnsiTheme="minorHAnsi" w:cstheme="minorHAnsi"/>
          <w:bCs/>
          <w:color w:val="000000" w:themeColor="text1"/>
          <w:sz w:val="24"/>
          <w:szCs w:val="24"/>
        </w:rPr>
        <w:t xml:space="preserve">Fatturato globale medio </w:t>
      </w:r>
      <w:r w:rsidR="00C91132" w:rsidRPr="00AF38A8">
        <w:rPr>
          <w:rFonts w:asciiTheme="minorHAnsi" w:hAnsiTheme="minorHAnsi" w:cstheme="minorHAnsi"/>
          <w:bCs/>
          <w:i/>
          <w:color w:val="000000" w:themeColor="text1"/>
          <w:sz w:val="24"/>
          <w:szCs w:val="24"/>
        </w:rPr>
        <w:t xml:space="preserve">[indicare un importo </w:t>
      </w:r>
      <w:r w:rsidRPr="00AF38A8">
        <w:rPr>
          <w:rFonts w:asciiTheme="minorHAnsi" w:hAnsiTheme="minorHAnsi" w:cstheme="minorHAnsi"/>
          <w:bCs/>
          <w:i/>
          <w:color w:val="000000" w:themeColor="text1"/>
          <w:sz w:val="24"/>
          <w:szCs w:val="24"/>
        </w:rPr>
        <w:t>non superiore al doppio del valore stimato dell’appalto</w:t>
      </w:r>
      <w:r w:rsidR="00971BE2" w:rsidRPr="00AF38A8">
        <w:rPr>
          <w:rFonts w:asciiTheme="minorHAnsi" w:hAnsiTheme="minorHAnsi" w:cstheme="minorHAnsi"/>
          <w:bCs/>
          <w:color w:val="000000" w:themeColor="text1"/>
          <w:sz w:val="24"/>
          <w:szCs w:val="24"/>
        </w:rPr>
        <w:t>]</w:t>
      </w:r>
      <w:r w:rsidR="000E4D8A" w:rsidRPr="00AF38A8">
        <w:rPr>
          <w:rFonts w:asciiTheme="minorHAnsi" w:hAnsiTheme="minorHAnsi" w:cstheme="minorHAnsi"/>
          <w:bCs/>
          <w:color w:val="000000" w:themeColor="text1"/>
          <w:sz w:val="24"/>
          <w:szCs w:val="24"/>
        </w:rPr>
        <w:t>,</w:t>
      </w:r>
      <w:r w:rsidRPr="00AF38A8">
        <w:rPr>
          <w:rFonts w:asciiTheme="minorHAnsi" w:hAnsiTheme="minorHAnsi" w:cstheme="minorHAnsi"/>
          <w:bCs/>
          <w:color w:val="000000" w:themeColor="text1"/>
          <w:sz w:val="24"/>
          <w:szCs w:val="24"/>
        </w:rPr>
        <w:t xml:space="preserve"> maturato </w:t>
      </w:r>
      <w:r w:rsidR="00F95656" w:rsidRPr="00AF38A8">
        <w:rPr>
          <w:rFonts w:asciiTheme="minorHAnsi" w:hAnsiTheme="minorHAnsi" w:cstheme="minorHAnsi"/>
          <w:bCs/>
          <w:color w:val="000000" w:themeColor="text1"/>
          <w:sz w:val="24"/>
          <w:szCs w:val="24"/>
        </w:rPr>
        <w:t>nel</w:t>
      </w:r>
      <w:r w:rsidRPr="00AF38A8">
        <w:rPr>
          <w:rFonts w:asciiTheme="minorHAnsi" w:hAnsiTheme="minorHAnsi" w:cstheme="minorHAnsi"/>
          <w:bCs/>
          <w:color w:val="000000" w:themeColor="text1"/>
          <w:sz w:val="24"/>
          <w:szCs w:val="24"/>
        </w:rPr>
        <w:t xml:space="preserve"> triennio precedente a quello di indizione della procedura.</w:t>
      </w:r>
    </w:p>
    <w:p w14:paraId="591DC280" w14:textId="77777777" w:rsidR="00BB51E7" w:rsidRPr="00AF38A8" w:rsidRDefault="00BB51E7" w:rsidP="00BD1359">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p>
    <w:p w14:paraId="2AFC893F" w14:textId="0610AACE" w:rsidR="0076366E" w:rsidRPr="00AF38A8" w:rsidRDefault="00BA3D28" w:rsidP="00BD1359">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richiesta del fatturato è motivata [</w:t>
      </w:r>
      <w:r w:rsidRPr="00AF38A8">
        <w:rPr>
          <w:rFonts w:asciiTheme="minorHAnsi" w:eastAsia="Times New Roman" w:hAnsiTheme="minorHAnsi" w:cstheme="minorHAnsi"/>
          <w:b/>
          <w:i/>
          <w:sz w:val="24"/>
          <w:szCs w:val="24"/>
        </w:rPr>
        <w:t>specificare</w:t>
      </w:r>
      <w:r w:rsidRPr="00AF38A8">
        <w:rPr>
          <w:rFonts w:asciiTheme="minorHAnsi" w:eastAsia="Times New Roman" w:hAnsiTheme="minorHAnsi" w:cstheme="minorHAnsi"/>
          <w:sz w:val="24"/>
          <w:szCs w:val="24"/>
        </w:rPr>
        <w:t xml:space="preserve">] </w:t>
      </w:r>
    </w:p>
    <w:p w14:paraId="3529EE4F" w14:textId="77777777" w:rsidR="003F0DEF" w:rsidRPr="00AF38A8" w:rsidRDefault="003F0DEF" w:rsidP="00BD1359">
      <w:pPr>
        <w:widowControl/>
        <w:pBdr>
          <w:top w:val="nil"/>
          <w:left w:val="nil"/>
          <w:bottom w:val="nil"/>
          <w:right w:val="nil"/>
          <w:between w:val="nil"/>
        </w:pBdr>
        <w:shd w:val="clear" w:color="auto" w:fill="FFFFFF"/>
        <w:spacing w:line="276" w:lineRule="auto"/>
        <w:ind w:left="362"/>
        <w:jc w:val="both"/>
        <w:rPr>
          <w:rFonts w:asciiTheme="minorHAnsi" w:eastAsia="Times New Roman" w:hAnsiTheme="minorHAnsi" w:cstheme="minorHAnsi"/>
          <w:sz w:val="24"/>
          <w:szCs w:val="24"/>
        </w:rPr>
      </w:pPr>
    </w:p>
    <w:p w14:paraId="7F9F74EC" w14:textId="77777777" w:rsidR="00BB51E7"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r w:rsidRPr="00AF38A8">
        <w:rPr>
          <w:rFonts w:asciiTheme="minorHAnsi" w:eastAsia="Times New Roman" w:hAnsiTheme="minorHAnsi" w:cstheme="minorHAnsi"/>
          <w:b w:val="0"/>
          <w:sz w:val="24"/>
          <w:szCs w:val="24"/>
        </w:rPr>
        <w:t xml:space="preserve"> </w:t>
      </w:r>
      <w:bookmarkStart w:id="80" w:name="_Toc140929826"/>
      <w:bookmarkStart w:id="81" w:name="_Toc141027268"/>
      <w:r w:rsidR="00BB51E7" w:rsidRPr="00AF38A8">
        <w:rPr>
          <w:rFonts w:asciiTheme="minorHAnsi" w:eastAsia="Times New Roman" w:hAnsiTheme="minorHAnsi" w:cstheme="minorHAnsi"/>
          <w:sz w:val="24"/>
          <w:szCs w:val="24"/>
        </w:rPr>
        <w:t>Requisiti di capacità tecniche e professionali</w:t>
      </w:r>
      <w:bookmarkEnd w:id="80"/>
      <w:bookmarkEnd w:id="81"/>
    </w:p>
    <w:p w14:paraId="23556DC8" w14:textId="77777777" w:rsidR="00BB51E7" w:rsidRPr="00AF38A8" w:rsidRDefault="00BB51E7" w:rsidP="00BD1359">
      <w:pPr>
        <w:numPr>
          <w:ilvl w:val="0"/>
          <w:numId w:val="28"/>
        </w:numPr>
        <w:pBdr>
          <w:top w:val="nil"/>
          <w:left w:val="nil"/>
          <w:bottom w:val="nil"/>
          <w:right w:val="nil"/>
          <w:between w:val="nil"/>
        </w:pBdr>
        <w:spacing w:line="276" w:lineRule="auto"/>
        <w:jc w:val="both"/>
        <w:rPr>
          <w:rFonts w:asciiTheme="minorHAnsi" w:hAnsiTheme="minorHAnsi" w:cstheme="minorHAnsi"/>
          <w:color w:val="000000" w:themeColor="text1"/>
          <w:sz w:val="24"/>
          <w:szCs w:val="24"/>
        </w:rPr>
      </w:pPr>
      <w:r w:rsidRPr="00AF38A8">
        <w:rPr>
          <w:rFonts w:asciiTheme="minorHAnsi" w:hAnsiTheme="minorHAnsi" w:cstheme="minorHAnsi"/>
          <w:b/>
          <w:bCs/>
          <w:i/>
          <w:iCs/>
          <w:color w:val="000000" w:themeColor="text1"/>
          <w:sz w:val="24"/>
          <w:szCs w:val="24"/>
        </w:rPr>
        <w:t>[facoltativo]</w:t>
      </w:r>
      <w:r w:rsidRPr="00AF38A8">
        <w:rPr>
          <w:rFonts w:asciiTheme="minorHAnsi" w:hAnsiTheme="minorHAnsi" w:cstheme="minorHAnsi"/>
          <w:color w:val="000000" w:themeColor="text1"/>
          <w:sz w:val="24"/>
          <w:szCs w:val="24"/>
        </w:rPr>
        <w:t xml:space="preserve"> Un elenco di servizi di ingegneria e di architettura espletati nel precedente triennio dalla data di indizione della procedura e relativi ai lavori di ognuna delle categorie e ID indicate nella successiva tabella e il cui importo complessivo, per ogni categoria e ID, è almeno pari a ............. volte [</w:t>
      </w:r>
      <w:r w:rsidRPr="00AF38A8">
        <w:rPr>
          <w:rFonts w:asciiTheme="minorHAnsi" w:hAnsiTheme="minorHAnsi" w:cstheme="minorHAnsi"/>
          <w:b/>
          <w:bCs/>
          <w:i/>
          <w:iCs/>
          <w:color w:val="000000" w:themeColor="text1"/>
          <w:sz w:val="24"/>
          <w:szCs w:val="24"/>
        </w:rPr>
        <w:t>la stazione appaltante indica un valore compreso tra 1 e 2 volte</w:t>
      </w:r>
      <w:r w:rsidRPr="00AF38A8">
        <w:rPr>
          <w:rFonts w:asciiTheme="minorHAnsi" w:hAnsiTheme="minorHAnsi" w:cstheme="minorHAnsi"/>
          <w:color w:val="000000" w:themeColor="text1"/>
          <w:sz w:val="24"/>
          <w:szCs w:val="24"/>
        </w:rPr>
        <w:t xml:space="preserve">] l’importo stimato dei lavori della rispettiva categoria e ID </w:t>
      </w:r>
    </w:p>
    <w:p w14:paraId="1F6168CD" w14:textId="77777777" w:rsidR="00BB51E7" w:rsidRPr="00AF38A8" w:rsidRDefault="00BB51E7" w:rsidP="00BD1359">
      <w:pPr>
        <w:pStyle w:val="Paragrafoelenco"/>
        <w:spacing w:line="276" w:lineRule="auto"/>
        <w:ind w:left="0" w:right="471" w:firstLine="0"/>
        <w:jc w:val="both"/>
        <w:rPr>
          <w:rFonts w:asciiTheme="minorHAnsi" w:hAnsiTheme="minorHAnsi" w:cstheme="minorHAnsi"/>
          <w:color w:val="000000" w:themeColor="text1"/>
          <w:sz w:val="24"/>
          <w:szCs w:val="24"/>
        </w:rPr>
      </w:pPr>
      <w:r w:rsidRPr="00AF38A8">
        <w:rPr>
          <w:rFonts w:asciiTheme="minorHAnsi" w:hAnsiTheme="minorHAnsi" w:cstheme="minorHAnsi"/>
          <w:color w:val="000000" w:themeColor="text1"/>
          <w:sz w:val="24"/>
          <w:szCs w:val="24"/>
        </w:rPr>
        <w:lastRenderedPageBreak/>
        <w:t>Gli importi minimi dei lavori, per categorie e ID, sono riportati nella seguente tabella.</w:t>
      </w:r>
    </w:p>
    <w:p w14:paraId="260145DC" w14:textId="77777777" w:rsidR="00BB51E7" w:rsidRPr="00AF38A8" w:rsidRDefault="00BB51E7" w:rsidP="00BD1359">
      <w:pPr>
        <w:pBdr>
          <w:top w:val="nil"/>
          <w:left w:val="nil"/>
          <w:bottom w:val="nil"/>
          <w:right w:val="nil"/>
          <w:between w:val="nil"/>
        </w:pBdr>
        <w:shd w:val="clear" w:color="auto" w:fill="FFFFFF"/>
        <w:spacing w:line="276" w:lineRule="auto"/>
        <w:jc w:val="both"/>
        <w:rPr>
          <w:rFonts w:asciiTheme="minorHAnsi" w:eastAsia="Times New Roman" w:hAnsiTheme="minorHAnsi" w:cstheme="minorHAnsi"/>
          <w:color w:val="000000"/>
          <w:sz w:val="24"/>
          <w:szCs w:val="24"/>
        </w:rPr>
      </w:pPr>
    </w:p>
    <w:p w14:paraId="19E1C0F9" w14:textId="4D3C94D1" w:rsidR="00BB51E7" w:rsidRPr="00AF38A8" w:rsidRDefault="00BB51E7" w:rsidP="00BD1359">
      <w:pPr>
        <w:pBdr>
          <w:top w:val="nil"/>
          <w:left w:val="nil"/>
          <w:bottom w:val="nil"/>
          <w:right w:val="nil"/>
          <w:between w:val="nil"/>
        </w:pBdr>
        <w:shd w:val="clear" w:color="auto" w:fill="FFFFFF"/>
        <w:spacing w:line="276" w:lineRule="auto"/>
        <w:jc w:val="both"/>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 xml:space="preserve">Tabella n. </w:t>
      </w:r>
      <w:r w:rsidR="00697AC2" w:rsidRPr="00AF38A8">
        <w:rPr>
          <w:rFonts w:asciiTheme="minorHAnsi" w:eastAsia="Times New Roman" w:hAnsiTheme="minorHAnsi" w:cstheme="minorHAnsi"/>
          <w:b/>
          <w:color w:val="000000"/>
          <w:sz w:val="24"/>
          <w:szCs w:val="24"/>
        </w:rPr>
        <w:t>6</w:t>
      </w:r>
      <w:r w:rsidRPr="00AF38A8">
        <w:rPr>
          <w:rFonts w:asciiTheme="minorHAnsi" w:eastAsia="Times New Roman" w:hAnsiTheme="minorHAnsi" w:cstheme="minorHAnsi"/>
          <w:b/>
          <w:color w:val="000000"/>
          <w:sz w:val="24"/>
          <w:szCs w:val="24"/>
        </w:rPr>
        <w:t xml:space="preserve"> - Categorie, ID e importi minimi dei lavori per l’elenco dei servizi</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1843"/>
        <w:gridCol w:w="1559"/>
        <w:gridCol w:w="3261"/>
      </w:tblGrid>
      <w:tr w:rsidR="00BB51E7" w:rsidRPr="00AF38A8" w14:paraId="4D6438BA" w14:textId="77777777" w:rsidTr="00713042">
        <w:trPr>
          <w:trHeight w:val="1129"/>
          <w:jc w:val="center"/>
        </w:trPr>
        <w:tc>
          <w:tcPr>
            <w:tcW w:w="2693" w:type="dxa"/>
          </w:tcPr>
          <w:p w14:paraId="04B4BED7"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Categoria e ID delle opere</w:t>
            </w:r>
          </w:p>
        </w:tc>
        <w:tc>
          <w:tcPr>
            <w:tcW w:w="1843" w:type="dxa"/>
          </w:tcPr>
          <w:p w14:paraId="250A024B"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Corrispondenza l. 143/49</w:t>
            </w:r>
          </w:p>
        </w:tc>
        <w:tc>
          <w:tcPr>
            <w:tcW w:w="1559" w:type="dxa"/>
          </w:tcPr>
          <w:p w14:paraId="0C06B5F7" w14:textId="77777777" w:rsidR="00BB51E7" w:rsidRPr="00AF38A8" w:rsidRDefault="00BB51E7" w:rsidP="00BD1359">
            <w:pPr>
              <w:pBdr>
                <w:top w:val="nil"/>
                <w:left w:val="nil"/>
                <w:bottom w:val="nil"/>
                <w:right w:val="nil"/>
                <w:between w:val="nil"/>
              </w:pBdr>
              <w:shd w:val="clear" w:color="auto" w:fill="FFFFFF"/>
              <w:spacing w:line="276" w:lineRule="auto"/>
              <w:ind w:hanging="336"/>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Valore delle opere</w:t>
            </w:r>
          </w:p>
        </w:tc>
        <w:tc>
          <w:tcPr>
            <w:tcW w:w="3261" w:type="dxa"/>
          </w:tcPr>
          <w:p w14:paraId="787F797A" w14:textId="77777777" w:rsidR="00BB51E7" w:rsidRPr="00AF38A8" w:rsidRDefault="00BB51E7" w:rsidP="00BD1359">
            <w:pPr>
              <w:pBdr>
                <w:top w:val="nil"/>
                <w:left w:val="nil"/>
                <w:bottom w:val="nil"/>
                <w:right w:val="nil"/>
                <w:between w:val="nil"/>
              </w:pBdr>
              <w:shd w:val="clear" w:color="auto" w:fill="FFFFFF"/>
              <w:tabs>
                <w:tab w:val="left" w:pos="1718"/>
              </w:tabs>
              <w:spacing w:line="276" w:lineRule="auto"/>
              <w:jc w:val="both"/>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Importo complessivo minimo per l’elenco dei servizi</w:t>
            </w:r>
          </w:p>
        </w:tc>
      </w:tr>
      <w:tr w:rsidR="00BB51E7" w:rsidRPr="00AF38A8" w14:paraId="7BB4B2E8" w14:textId="77777777" w:rsidTr="00713042">
        <w:trPr>
          <w:trHeight w:val="1190"/>
          <w:jc w:val="center"/>
        </w:trPr>
        <w:tc>
          <w:tcPr>
            <w:tcW w:w="2693" w:type="dxa"/>
          </w:tcPr>
          <w:p w14:paraId="18E117B5"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 STRUTTURE:S.04</w:t>
            </w:r>
          </w:p>
          <w:p w14:paraId="0E572FF5" w14:textId="77777777" w:rsidR="00BB51E7" w:rsidRPr="00AF38A8" w:rsidRDefault="00BB51E7" w:rsidP="00BD1359">
            <w:pPr>
              <w:pBdr>
                <w:top w:val="nil"/>
                <w:left w:val="nil"/>
                <w:bottom w:val="nil"/>
                <w:right w:val="nil"/>
                <w:between w:val="nil"/>
              </w:pBdr>
              <w:shd w:val="clear" w:color="auto" w:fill="FFFFFF"/>
              <w:tabs>
                <w:tab w:val="left" w:pos="2269"/>
              </w:tabs>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 xml:space="preserve">Strutture, </w:t>
            </w:r>
          </w:p>
          <w:p w14:paraId="41D77C22" w14:textId="77777777" w:rsidR="00BB51E7" w:rsidRPr="00AF38A8" w:rsidRDefault="00BB51E7" w:rsidP="00BD1359">
            <w:pPr>
              <w:pBdr>
                <w:top w:val="nil"/>
                <w:left w:val="nil"/>
                <w:bottom w:val="nil"/>
                <w:right w:val="nil"/>
                <w:between w:val="nil"/>
              </w:pBdr>
              <w:shd w:val="clear" w:color="auto" w:fill="FFFFFF"/>
              <w:tabs>
                <w:tab w:val="left" w:pos="2269"/>
              </w:tabs>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Opere    infrastrutturali puntuali]</w:t>
            </w:r>
          </w:p>
        </w:tc>
        <w:tc>
          <w:tcPr>
            <w:tcW w:w="1843" w:type="dxa"/>
          </w:tcPr>
          <w:p w14:paraId="02C1EBB0"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 IX/b]</w:t>
            </w:r>
          </w:p>
        </w:tc>
        <w:tc>
          <w:tcPr>
            <w:tcW w:w="1559" w:type="dxa"/>
          </w:tcPr>
          <w:p w14:paraId="647B6F6A"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w:t>
            </w:r>
          </w:p>
          <w:p w14:paraId="6E6E235A"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€ 575.000,00]</w:t>
            </w:r>
          </w:p>
        </w:tc>
        <w:tc>
          <w:tcPr>
            <w:tcW w:w="3261" w:type="dxa"/>
          </w:tcPr>
          <w:p w14:paraId="124F2F7B"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w:t>
            </w:r>
          </w:p>
          <w:p w14:paraId="02DD37DC"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€ 862.500,00]</w:t>
            </w:r>
          </w:p>
        </w:tc>
      </w:tr>
      <w:tr w:rsidR="00BB51E7" w:rsidRPr="00AF38A8" w14:paraId="3C5ABD22" w14:textId="77777777" w:rsidTr="00713042">
        <w:trPr>
          <w:trHeight w:val="456"/>
          <w:jc w:val="center"/>
        </w:trPr>
        <w:tc>
          <w:tcPr>
            <w:tcW w:w="2693" w:type="dxa"/>
          </w:tcPr>
          <w:p w14:paraId="5E407321"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843" w:type="dxa"/>
          </w:tcPr>
          <w:p w14:paraId="698DABB4"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559" w:type="dxa"/>
          </w:tcPr>
          <w:p w14:paraId="7B00F5BF"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3261" w:type="dxa"/>
          </w:tcPr>
          <w:p w14:paraId="6EE0AD06"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r>
      <w:tr w:rsidR="00BB51E7" w:rsidRPr="00AF38A8" w14:paraId="6537F878" w14:textId="77777777" w:rsidTr="00713042">
        <w:trPr>
          <w:trHeight w:val="456"/>
          <w:jc w:val="center"/>
        </w:trPr>
        <w:tc>
          <w:tcPr>
            <w:tcW w:w="2693" w:type="dxa"/>
          </w:tcPr>
          <w:p w14:paraId="0016A83B"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843" w:type="dxa"/>
          </w:tcPr>
          <w:p w14:paraId="0040A1F9"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559" w:type="dxa"/>
          </w:tcPr>
          <w:p w14:paraId="4A928C53"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3261" w:type="dxa"/>
          </w:tcPr>
          <w:p w14:paraId="731E1C7E"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r>
    </w:tbl>
    <w:p w14:paraId="2F44069C"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p w14:paraId="5FBE618A" w14:textId="04C21E94" w:rsidR="00BB51E7" w:rsidRPr="00AF38A8" w:rsidRDefault="00BB51E7" w:rsidP="00BD1359">
      <w:pPr>
        <w:widowControl/>
        <w:pBdr>
          <w:top w:val="nil"/>
          <w:left w:val="nil"/>
          <w:bottom w:val="nil"/>
          <w:right w:val="nil"/>
          <w:between w:val="nil"/>
        </w:pBdr>
        <w:shd w:val="clear" w:color="auto" w:fill="FFFFFF"/>
        <w:spacing w:line="276" w:lineRule="auto"/>
        <w:ind w:right="3"/>
        <w:jc w:val="both"/>
        <w:rPr>
          <w:rFonts w:asciiTheme="minorHAnsi" w:eastAsia="Times New Roman" w:hAnsiTheme="minorHAnsi" w:cstheme="minorHAnsi"/>
          <w:i/>
          <w:iCs/>
          <w:color w:val="000000"/>
          <w:sz w:val="24"/>
          <w:szCs w:val="24"/>
        </w:rPr>
      </w:pPr>
      <w:r w:rsidRPr="00AF38A8">
        <w:rPr>
          <w:rFonts w:asciiTheme="minorHAnsi" w:eastAsia="Times New Roman" w:hAnsiTheme="minorHAnsi" w:cstheme="minorHAnsi"/>
          <w:color w:val="000000"/>
          <w:sz w:val="24"/>
          <w:szCs w:val="24"/>
        </w:rPr>
        <w:t>La comprova del requisito è fornita mediante….</w:t>
      </w:r>
      <w:r w:rsidRPr="00AF38A8">
        <w:rPr>
          <w:rFonts w:asciiTheme="minorHAnsi" w:eastAsia="Times New Roman" w:hAnsiTheme="minorHAnsi" w:cstheme="minorHAnsi"/>
          <w:color w:val="000000"/>
          <w:sz w:val="24"/>
          <w:szCs w:val="24"/>
        </w:rPr>
        <w:tab/>
      </w:r>
      <w:r w:rsidRPr="00AF38A8">
        <w:rPr>
          <w:rFonts w:asciiTheme="minorHAnsi" w:eastAsia="Times New Roman" w:hAnsiTheme="minorHAnsi" w:cstheme="minorHAnsi"/>
          <w:i/>
          <w:iCs/>
          <w:color w:val="000000"/>
          <w:sz w:val="24"/>
          <w:szCs w:val="24"/>
        </w:rPr>
        <w:t>[</w:t>
      </w:r>
      <w:r w:rsidRPr="00AF38A8">
        <w:rPr>
          <w:rFonts w:asciiTheme="minorHAnsi" w:eastAsia="Times New Roman" w:hAnsiTheme="minorHAnsi" w:cstheme="minorHAnsi"/>
          <w:b/>
          <w:bCs/>
          <w:i/>
          <w:iCs/>
          <w:color w:val="000000"/>
          <w:sz w:val="24"/>
          <w:szCs w:val="24"/>
        </w:rPr>
        <w:t>la stazione appaltante specifica i</w:t>
      </w:r>
      <w:r w:rsidR="001C0C64">
        <w:rPr>
          <w:rFonts w:asciiTheme="minorHAnsi" w:eastAsia="Times New Roman" w:hAnsiTheme="minorHAnsi" w:cstheme="minorHAnsi"/>
          <w:b/>
          <w:bCs/>
          <w:i/>
          <w:iCs/>
          <w:color w:val="000000"/>
          <w:sz w:val="24"/>
          <w:szCs w:val="24"/>
        </w:rPr>
        <w:t xml:space="preserve">  </w:t>
      </w:r>
      <w:r w:rsidRPr="00AF38A8">
        <w:rPr>
          <w:rFonts w:asciiTheme="minorHAnsi" w:eastAsia="Times New Roman" w:hAnsiTheme="minorHAnsi" w:cstheme="minorHAnsi"/>
          <w:b/>
          <w:bCs/>
          <w:i/>
          <w:iCs/>
          <w:color w:val="000000"/>
          <w:sz w:val="24"/>
          <w:szCs w:val="24"/>
        </w:rPr>
        <w:t>documenti richiesti]</w:t>
      </w:r>
      <w:r w:rsidRPr="00AF38A8">
        <w:rPr>
          <w:rFonts w:asciiTheme="minorHAnsi" w:eastAsia="Times New Roman" w:hAnsiTheme="minorHAnsi" w:cstheme="minorHAnsi"/>
          <w:i/>
          <w:iCs/>
          <w:color w:val="000000"/>
          <w:sz w:val="24"/>
          <w:szCs w:val="24"/>
        </w:rPr>
        <w:t>.</w:t>
      </w:r>
    </w:p>
    <w:p w14:paraId="501BEAE7" w14:textId="77777777" w:rsidR="001C0C64" w:rsidRDefault="00BB51E7" w:rsidP="00BD1359">
      <w:pPr>
        <w:numPr>
          <w:ilvl w:val="0"/>
          <w:numId w:val="28"/>
        </w:numPr>
        <w:pBdr>
          <w:top w:val="nil"/>
          <w:left w:val="nil"/>
          <w:bottom w:val="nil"/>
          <w:right w:val="nil"/>
          <w:between w:val="nil"/>
        </w:pBdr>
        <w:spacing w:line="276" w:lineRule="auto"/>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b/>
          <w:bCs/>
          <w:i/>
          <w:iCs/>
          <w:color w:val="000000"/>
          <w:sz w:val="24"/>
          <w:szCs w:val="24"/>
        </w:rPr>
        <w:t>[facoltativo</w:t>
      </w:r>
      <w:r w:rsidRPr="00AF38A8">
        <w:rPr>
          <w:rFonts w:asciiTheme="minorHAnsi" w:eastAsia="Times New Roman" w:hAnsiTheme="minorHAnsi" w:cstheme="minorHAnsi"/>
          <w:color w:val="000000"/>
          <w:sz w:val="24"/>
          <w:szCs w:val="24"/>
        </w:rPr>
        <w:t>] servizi “di punta” di ingegneria e architettura espletati nel precedente triennio dalla data di indizione della procedura di gara con le seguenti caratteristiche: l’operatore economico deve aver eseguito, per ciascuna delle categorie e ID della successiva tabella, due servizi per lavori analoghi, per dimensione e caratteristiche tecniche, a quelli oggetto dell’affidamento, di importo complessivo, per ogni categoria e ID, almeno pari a…</w:t>
      </w:r>
      <w:r w:rsidRPr="00AF38A8">
        <w:rPr>
          <w:rFonts w:asciiTheme="minorHAnsi" w:eastAsia="Times New Roman" w:hAnsiTheme="minorHAnsi" w:cstheme="minorHAnsi"/>
          <w:color w:val="000000"/>
          <w:sz w:val="24"/>
          <w:szCs w:val="24"/>
        </w:rPr>
        <w:tab/>
      </w:r>
    </w:p>
    <w:p w14:paraId="25B0E74A" w14:textId="19BF047D" w:rsidR="00BB51E7" w:rsidRPr="00AF38A8" w:rsidRDefault="00BB51E7" w:rsidP="00BD1359">
      <w:pPr>
        <w:pBdr>
          <w:top w:val="nil"/>
          <w:left w:val="nil"/>
          <w:bottom w:val="nil"/>
          <w:right w:val="nil"/>
          <w:between w:val="nil"/>
        </w:pBdr>
        <w:spacing w:line="276" w:lineRule="auto"/>
        <w:ind w:left="362"/>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color w:val="000000"/>
          <w:sz w:val="24"/>
          <w:szCs w:val="24"/>
        </w:rPr>
        <w:t>[</w:t>
      </w:r>
      <w:r w:rsidRPr="00AF38A8">
        <w:rPr>
          <w:rFonts w:asciiTheme="minorHAnsi" w:eastAsia="Times New Roman" w:hAnsiTheme="minorHAnsi" w:cstheme="minorHAnsi"/>
          <w:b/>
          <w:bCs/>
          <w:i/>
          <w:iCs/>
          <w:color w:val="000000"/>
          <w:sz w:val="24"/>
          <w:szCs w:val="24"/>
        </w:rPr>
        <w:t>inserire</w:t>
      </w:r>
      <w:r w:rsidR="001C0C64">
        <w:rPr>
          <w:rFonts w:asciiTheme="minorHAnsi" w:eastAsia="Times New Roman" w:hAnsiTheme="minorHAnsi" w:cstheme="minorHAnsi"/>
          <w:b/>
          <w:bCs/>
          <w:i/>
          <w:iCs/>
          <w:color w:val="000000"/>
          <w:sz w:val="24"/>
          <w:szCs w:val="24"/>
        </w:rPr>
        <w:t xml:space="preserve"> </w:t>
      </w:r>
      <w:r w:rsidRPr="00AF38A8">
        <w:rPr>
          <w:rFonts w:asciiTheme="minorHAnsi" w:eastAsia="Times New Roman" w:hAnsiTheme="minorHAnsi" w:cstheme="minorHAnsi"/>
          <w:b/>
          <w:bCs/>
          <w:i/>
          <w:iCs/>
          <w:color w:val="000000"/>
          <w:sz w:val="24"/>
          <w:szCs w:val="24"/>
        </w:rPr>
        <w:t>un valore compreso fra 0,40 e 0,80 volte l’importo stimato dei lavori cui si riferisce la prestazione</w:t>
      </w:r>
      <w:r w:rsidRPr="00AF38A8">
        <w:rPr>
          <w:rFonts w:asciiTheme="minorHAnsi" w:eastAsia="Times New Roman" w:hAnsiTheme="minorHAnsi" w:cstheme="minorHAnsi"/>
          <w:color w:val="000000"/>
          <w:sz w:val="24"/>
          <w:szCs w:val="24"/>
        </w:rPr>
        <w:t>] volte il valore della medesima</w:t>
      </w:r>
    </w:p>
    <w:p w14:paraId="0EA5DAE7" w14:textId="77777777" w:rsidR="00BB51E7" w:rsidRPr="00AF38A8" w:rsidRDefault="00BB51E7" w:rsidP="00BD1359">
      <w:pPr>
        <w:numPr>
          <w:ilvl w:val="0"/>
          <w:numId w:val="28"/>
        </w:numPr>
        <w:pBdr>
          <w:top w:val="nil"/>
          <w:left w:val="nil"/>
          <w:bottom w:val="nil"/>
          <w:right w:val="nil"/>
          <w:between w:val="nil"/>
        </w:pBdr>
        <w:spacing w:line="276" w:lineRule="auto"/>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color w:val="000000"/>
          <w:sz w:val="24"/>
          <w:szCs w:val="24"/>
        </w:rPr>
        <w:t>[</w:t>
      </w:r>
      <w:r w:rsidRPr="00AF38A8">
        <w:rPr>
          <w:rFonts w:asciiTheme="minorHAnsi" w:eastAsia="Times New Roman" w:hAnsiTheme="minorHAnsi" w:cstheme="minorHAnsi"/>
          <w:b/>
          <w:bCs/>
          <w:i/>
          <w:iCs/>
          <w:color w:val="000000"/>
          <w:sz w:val="24"/>
          <w:szCs w:val="24"/>
        </w:rPr>
        <w:t>facoltativo</w:t>
      </w:r>
      <w:r w:rsidRPr="00AF38A8">
        <w:rPr>
          <w:rFonts w:asciiTheme="minorHAnsi" w:eastAsia="Times New Roman" w:hAnsiTheme="minorHAnsi" w:cstheme="minorHAnsi"/>
          <w:color w:val="000000"/>
          <w:sz w:val="24"/>
          <w:szCs w:val="24"/>
        </w:rPr>
        <w:t>] In luogo dei due servizi, è possibile dimostrare il possesso del requisito anche mediante un unico servizio purché di importo almeno pari al minimo richiesto nella relativa categoria e ID.</w:t>
      </w:r>
    </w:p>
    <w:p w14:paraId="0BCB7B4E" w14:textId="77777777" w:rsidR="00BB51E7" w:rsidRPr="00AF38A8" w:rsidRDefault="00BB51E7" w:rsidP="00BD1359">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color w:val="000000"/>
          <w:sz w:val="24"/>
          <w:szCs w:val="24"/>
        </w:rPr>
        <w:t>Gli importi minimi dei lavori, per categoria e ID, sono riportati nella seguente tabella:</w:t>
      </w:r>
    </w:p>
    <w:p w14:paraId="18461955" w14:textId="77777777" w:rsidR="00BB51E7" w:rsidRPr="00AF38A8" w:rsidRDefault="00BB51E7" w:rsidP="00BD1359">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p>
    <w:p w14:paraId="54469BFB" w14:textId="4F636EC2" w:rsidR="00BB51E7" w:rsidRPr="00AF38A8" w:rsidRDefault="00BB51E7" w:rsidP="00BD1359">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 xml:space="preserve">Tabella n. </w:t>
      </w:r>
      <w:r w:rsidR="00697AC2" w:rsidRPr="00AF38A8">
        <w:rPr>
          <w:rFonts w:asciiTheme="minorHAnsi" w:eastAsia="Times New Roman" w:hAnsiTheme="minorHAnsi" w:cstheme="minorHAnsi"/>
          <w:b/>
          <w:color w:val="000000"/>
          <w:sz w:val="24"/>
          <w:szCs w:val="24"/>
        </w:rPr>
        <w:t>7</w:t>
      </w:r>
      <w:r w:rsidRPr="00AF38A8">
        <w:rPr>
          <w:rFonts w:asciiTheme="minorHAnsi" w:eastAsia="Times New Roman" w:hAnsiTheme="minorHAnsi" w:cstheme="minorHAnsi"/>
          <w:b/>
          <w:color w:val="000000"/>
          <w:sz w:val="24"/>
          <w:szCs w:val="24"/>
        </w:rPr>
        <w:t>- Categorie, ID e importi minimi dei lavori per i servizi di punta</w:t>
      </w:r>
    </w:p>
    <w:tbl>
      <w:tblPr>
        <w:tblW w:w="9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336"/>
        <w:gridCol w:w="1875"/>
        <w:gridCol w:w="2408"/>
      </w:tblGrid>
      <w:tr w:rsidR="00BB51E7" w:rsidRPr="00AF38A8" w14:paraId="5416EBBC" w14:textId="77777777" w:rsidTr="00713042">
        <w:trPr>
          <w:trHeight w:val="1130"/>
          <w:jc w:val="center"/>
        </w:trPr>
        <w:tc>
          <w:tcPr>
            <w:tcW w:w="2547" w:type="dxa"/>
          </w:tcPr>
          <w:p w14:paraId="33DADEAD"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Categoria e ID delle opere</w:t>
            </w:r>
          </w:p>
        </w:tc>
        <w:tc>
          <w:tcPr>
            <w:tcW w:w="2336" w:type="dxa"/>
          </w:tcPr>
          <w:p w14:paraId="2FE47B26" w14:textId="77777777" w:rsidR="00713042" w:rsidRDefault="00BB51E7" w:rsidP="00BD1359">
            <w:pPr>
              <w:pBdr>
                <w:top w:val="nil"/>
                <w:left w:val="nil"/>
                <w:bottom w:val="nil"/>
                <w:right w:val="nil"/>
                <w:between w:val="nil"/>
              </w:pBdr>
              <w:shd w:val="clear" w:color="auto" w:fill="FFFFFF"/>
              <w:tabs>
                <w:tab w:val="left" w:pos="2089"/>
              </w:tabs>
              <w:spacing w:line="276" w:lineRule="auto"/>
              <w:ind w:hanging="1"/>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Corrispondenza</w:t>
            </w:r>
          </w:p>
          <w:p w14:paraId="6E9D5B4D" w14:textId="1AF7CF9D" w:rsidR="00BB51E7" w:rsidRPr="00AF38A8" w:rsidRDefault="00BB51E7" w:rsidP="00BD1359">
            <w:pPr>
              <w:pBdr>
                <w:top w:val="nil"/>
                <w:left w:val="nil"/>
                <w:bottom w:val="nil"/>
                <w:right w:val="nil"/>
                <w:between w:val="nil"/>
              </w:pBdr>
              <w:shd w:val="clear" w:color="auto" w:fill="FFFFFF"/>
              <w:tabs>
                <w:tab w:val="left" w:pos="2089"/>
              </w:tabs>
              <w:spacing w:line="276" w:lineRule="auto"/>
              <w:ind w:hanging="1"/>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l. 143/49</w:t>
            </w:r>
          </w:p>
        </w:tc>
        <w:tc>
          <w:tcPr>
            <w:tcW w:w="1875" w:type="dxa"/>
          </w:tcPr>
          <w:p w14:paraId="79C7951B" w14:textId="77777777" w:rsidR="00713042" w:rsidRDefault="00BB51E7" w:rsidP="00BD1359">
            <w:pPr>
              <w:pBdr>
                <w:top w:val="nil"/>
                <w:left w:val="nil"/>
                <w:bottom w:val="nil"/>
                <w:right w:val="nil"/>
                <w:between w:val="nil"/>
              </w:pBdr>
              <w:shd w:val="clear" w:color="auto" w:fill="FFFFFF"/>
              <w:tabs>
                <w:tab w:val="left" w:pos="1281"/>
              </w:tabs>
              <w:spacing w:line="276" w:lineRule="auto"/>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Valore</w:t>
            </w:r>
          </w:p>
          <w:p w14:paraId="25C48B9D" w14:textId="67E5E679" w:rsidR="00BB51E7" w:rsidRPr="00AF38A8" w:rsidRDefault="00BB51E7" w:rsidP="00BD1359">
            <w:pPr>
              <w:pBdr>
                <w:top w:val="nil"/>
                <w:left w:val="nil"/>
                <w:bottom w:val="nil"/>
                <w:right w:val="nil"/>
                <w:between w:val="nil"/>
              </w:pBdr>
              <w:shd w:val="clear" w:color="auto" w:fill="FFFFFF"/>
              <w:tabs>
                <w:tab w:val="left" w:pos="1281"/>
              </w:tabs>
              <w:spacing w:line="276" w:lineRule="auto"/>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delle opere</w:t>
            </w:r>
          </w:p>
        </w:tc>
        <w:tc>
          <w:tcPr>
            <w:tcW w:w="2408" w:type="dxa"/>
          </w:tcPr>
          <w:p w14:paraId="002CDC95" w14:textId="77777777" w:rsidR="00BB51E7" w:rsidRPr="00AF38A8" w:rsidRDefault="00BB51E7" w:rsidP="00BD1359">
            <w:pPr>
              <w:pBdr>
                <w:top w:val="nil"/>
                <w:left w:val="nil"/>
                <w:bottom w:val="nil"/>
                <w:right w:val="nil"/>
                <w:between w:val="nil"/>
              </w:pBdr>
              <w:shd w:val="clear" w:color="auto" w:fill="FFFFFF"/>
              <w:spacing w:line="276" w:lineRule="auto"/>
              <w:jc w:val="both"/>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Importo complessivo minimo per i servizi di punta</w:t>
            </w:r>
          </w:p>
        </w:tc>
      </w:tr>
      <w:tr w:rsidR="00BB51E7" w:rsidRPr="00AF38A8" w14:paraId="755D9DC9" w14:textId="77777777" w:rsidTr="00713042">
        <w:trPr>
          <w:trHeight w:val="1190"/>
          <w:jc w:val="center"/>
        </w:trPr>
        <w:tc>
          <w:tcPr>
            <w:tcW w:w="2547" w:type="dxa"/>
          </w:tcPr>
          <w:p w14:paraId="0E5E8091"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 STRUTTURE:S.04</w:t>
            </w:r>
          </w:p>
          <w:p w14:paraId="5A76E070" w14:textId="77777777" w:rsidR="00BB51E7" w:rsidRPr="00AF38A8" w:rsidRDefault="00BB51E7" w:rsidP="00BD1359">
            <w:pPr>
              <w:pBdr>
                <w:top w:val="nil"/>
                <w:left w:val="nil"/>
                <w:bottom w:val="nil"/>
                <w:right w:val="nil"/>
                <w:between w:val="nil"/>
              </w:pBdr>
              <w:shd w:val="clear" w:color="auto" w:fill="FFFFFF"/>
              <w:tabs>
                <w:tab w:val="left" w:pos="2329"/>
              </w:tabs>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Strutture,</w:t>
            </w:r>
            <w:r w:rsidRPr="00AF38A8">
              <w:rPr>
                <w:rFonts w:asciiTheme="minorHAnsi" w:eastAsia="Times New Roman" w:hAnsiTheme="minorHAnsi" w:cstheme="minorHAnsi"/>
                <w:i/>
                <w:color w:val="000000"/>
                <w:sz w:val="24"/>
                <w:szCs w:val="24"/>
              </w:rPr>
              <w:tab/>
              <w:t>Opere infrastrutturali puntuali]</w:t>
            </w:r>
          </w:p>
        </w:tc>
        <w:tc>
          <w:tcPr>
            <w:tcW w:w="2336" w:type="dxa"/>
          </w:tcPr>
          <w:p w14:paraId="1D8D1782"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 IX/b]</w:t>
            </w:r>
          </w:p>
        </w:tc>
        <w:tc>
          <w:tcPr>
            <w:tcW w:w="1875" w:type="dxa"/>
          </w:tcPr>
          <w:p w14:paraId="48CBA281"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w:t>
            </w:r>
          </w:p>
          <w:p w14:paraId="47260541"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€ 575.000,00]</w:t>
            </w:r>
          </w:p>
        </w:tc>
        <w:tc>
          <w:tcPr>
            <w:tcW w:w="2408" w:type="dxa"/>
          </w:tcPr>
          <w:p w14:paraId="18A47904"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w:t>
            </w:r>
          </w:p>
          <w:p w14:paraId="78C33F3A"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€ 230.000,00]</w:t>
            </w:r>
          </w:p>
        </w:tc>
      </w:tr>
      <w:tr w:rsidR="00BB51E7" w:rsidRPr="00AF38A8" w14:paraId="46BED1DE" w14:textId="77777777" w:rsidTr="00713042">
        <w:trPr>
          <w:trHeight w:val="456"/>
          <w:jc w:val="center"/>
        </w:trPr>
        <w:tc>
          <w:tcPr>
            <w:tcW w:w="2547" w:type="dxa"/>
          </w:tcPr>
          <w:p w14:paraId="237B22D4"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2336" w:type="dxa"/>
          </w:tcPr>
          <w:p w14:paraId="45F3EDC4"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875" w:type="dxa"/>
          </w:tcPr>
          <w:p w14:paraId="39F54E5F"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2408" w:type="dxa"/>
          </w:tcPr>
          <w:p w14:paraId="12CC6802"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r>
      <w:tr w:rsidR="00BB51E7" w:rsidRPr="00AF38A8" w14:paraId="39E13414" w14:textId="77777777" w:rsidTr="00713042">
        <w:trPr>
          <w:trHeight w:val="456"/>
          <w:jc w:val="center"/>
        </w:trPr>
        <w:tc>
          <w:tcPr>
            <w:tcW w:w="2547" w:type="dxa"/>
          </w:tcPr>
          <w:p w14:paraId="218613E2"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2336" w:type="dxa"/>
          </w:tcPr>
          <w:p w14:paraId="2FB57D99"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875" w:type="dxa"/>
          </w:tcPr>
          <w:p w14:paraId="60A02EC5"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2408" w:type="dxa"/>
          </w:tcPr>
          <w:p w14:paraId="7C2F33BF" w14:textId="77777777" w:rsidR="00BB51E7" w:rsidRPr="00AF38A8" w:rsidRDefault="00BB51E7" w:rsidP="00BD1359">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r>
    </w:tbl>
    <w:p w14:paraId="0F97A954" w14:textId="77777777" w:rsidR="00BB51E7" w:rsidRPr="00AF38A8" w:rsidRDefault="00BB51E7" w:rsidP="00BD1359">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p>
    <w:p w14:paraId="4847A89F" w14:textId="77777777" w:rsidR="00BB51E7" w:rsidRPr="00AF38A8" w:rsidRDefault="00BB51E7" w:rsidP="00BD1359">
      <w:pPr>
        <w:widowControl/>
        <w:pBdr>
          <w:top w:val="nil"/>
          <w:left w:val="nil"/>
          <w:bottom w:val="nil"/>
          <w:right w:val="nil"/>
          <w:between w:val="nil"/>
        </w:pBdr>
        <w:shd w:val="clear" w:color="auto" w:fill="FFFFFF"/>
        <w:spacing w:line="276" w:lineRule="auto"/>
        <w:ind w:right="3"/>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color w:val="000000"/>
          <w:sz w:val="24"/>
          <w:szCs w:val="24"/>
        </w:rPr>
        <w:t>Per le categorie ……….. [</w:t>
      </w:r>
      <w:r w:rsidRPr="00AF38A8">
        <w:rPr>
          <w:rFonts w:asciiTheme="minorHAnsi" w:eastAsia="Times New Roman" w:hAnsiTheme="minorHAnsi" w:cstheme="minorHAnsi"/>
          <w:b/>
          <w:bCs/>
          <w:i/>
          <w:iCs/>
          <w:color w:val="000000"/>
          <w:sz w:val="24"/>
          <w:szCs w:val="24"/>
        </w:rPr>
        <w:t>indicare, ove presenti, una o più delle attuali categorie Edilizia/Strutture/Infrastrutture per la mobilità</w:t>
      </w:r>
      <w:r w:rsidRPr="00AF38A8">
        <w:rPr>
          <w:rFonts w:asciiTheme="minorHAnsi" w:eastAsia="Times New Roman" w:hAnsiTheme="minorHAnsi" w:cstheme="minorHAnsi"/>
          <w:color w:val="000000"/>
          <w:sz w:val="24"/>
          <w:szCs w:val="24"/>
        </w:rPr>
        <w:t>] ai fini della qualificazione nell’ambito della stessa categoria, le attività svolte per opere analoghe a quelle oggetto dei servizi da affidare sono da ritenersi idonee a comprovare i requisiti quando il grado di complessità sia almeno pari a quello dei servizi da affidare.</w:t>
      </w:r>
    </w:p>
    <w:p w14:paraId="001CC2F1" w14:textId="77777777" w:rsidR="00BB51E7" w:rsidRPr="00AF38A8" w:rsidRDefault="00BB51E7" w:rsidP="00BD1359">
      <w:pPr>
        <w:widowControl/>
        <w:pBdr>
          <w:top w:val="nil"/>
          <w:left w:val="nil"/>
          <w:bottom w:val="nil"/>
          <w:right w:val="nil"/>
          <w:between w:val="nil"/>
        </w:pBdr>
        <w:shd w:val="clear" w:color="auto" w:fill="FFFFFF"/>
        <w:spacing w:line="276" w:lineRule="auto"/>
        <w:ind w:right="3"/>
        <w:jc w:val="both"/>
        <w:rPr>
          <w:rFonts w:asciiTheme="minorHAnsi" w:eastAsia="Times New Roman" w:hAnsiTheme="minorHAnsi" w:cstheme="minorHAnsi"/>
          <w:color w:val="000000"/>
          <w:sz w:val="24"/>
          <w:szCs w:val="24"/>
        </w:rPr>
      </w:pPr>
    </w:p>
    <w:p w14:paraId="6A6F4F98" w14:textId="77777777" w:rsidR="00BB51E7" w:rsidRPr="00AF38A8" w:rsidRDefault="00BB51E7" w:rsidP="00BD1359">
      <w:pPr>
        <w:widowControl/>
        <w:pBdr>
          <w:top w:val="nil"/>
          <w:left w:val="nil"/>
          <w:bottom w:val="nil"/>
          <w:right w:val="nil"/>
          <w:between w:val="nil"/>
        </w:pBdr>
        <w:shd w:val="clear" w:color="auto" w:fill="FFFFFF"/>
        <w:spacing w:line="276" w:lineRule="auto"/>
        <w:ind w:right="3"/>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color w:val="000000"/>
          <w:sz w:val="24"/>
          <w:szCs w:val="24"/>
        </w:rPr>
        <w:t>Per la categoria …. ID …. [</w:t>
      </w:r>
      <w:r w:rsidRPr="00AF38A8">
        <w:rPr>
          <w:rFonts w:asciiTheme="minorHAnsi" w:eastAsia="Times New Roman" w:hAnsiTheme="minorHAnsi" w:cstheme="minorHAnsi"/>
          <w:b/>
          <w:bCs/>
          <w:i/>
          <w:iCs/>
          <w:color w:val="000000"/>
          <w:sz w:val="24"/>
          <w:szCs w:val="24"/>
        </w:rPr>
        <w:t>indicare, ove presenti, la categoria diverse da Edilizia/Strutture/Infrastrutture per la mobilità e la relativa ID</w:t>
      </w:r>
      <w:r w:rsidRPr="00AF38A8">
        <w:rPr>
          <w:rFonts w:asciiTheme="minorHAnsi" w:eastAsia="Times New Roman" w:hAnsiTheme="minorHAnsi" w:cstheme="minorHAnsi"/>
          <w:color w:val="000000"/>
          <w:sz w:val="24"/>
          <w:szCs w:val="24"/>
        </w:rPr>
        <w:t>] ai fini della qualificazione, le attività svolte per opere analoghe a quelle oggetto dei servizi da affidare sono da ritenersi idonee a comprovare i requisiti quando relative alle seguenti ID. …… [</w:t>
      </w:r>
      <w:r w:rsidRPr="00AF38A8">
        <w:rPr>
          <w:rFonts w:asciiTheme="minorHAnsi" w:eastAsia="Times New Roman" w:hAnsiTheme="minorHAnsi" w:cstheme="minorHAnsi"/>
          <w:b/>
          <w:bCs/>
          <w:i/>
          <w:iCs/>
          <w:color w:val="000000"/>
          <w:sz w:val="24"/>
          <w:szCs w:val="24"/>
        </w:rPr>
        <w:t>la stazione appaltante indica le ID che ritiene idonee a comprovare il requisito.</w:t>
      </w:r>
      <w:r w:rsidRPr="00AF38A8">
        <w:rPr>
          <w:rFonts w:asciiTheme="minorHAnsi" w:eastAsia="Times New Roman" w:hAnsiTheme="minorHAnsi" w:cstheme="minorHAnsi"/>
          <w:color w:val="000000"/>
          <w:sz w:val="24"/>
          <w:szCs w:val="24"/>
        </w:rPr>
        <w:t>]</w:t>
      </w:r>
    </w:p>
    <w:p w14:paraId="4B4D7554" w14:textId="77777777" w:rsidR="00BB51E7" w:rsidRPr="00AF38A8" w:rsidRDefault="00BB51E7" w:rsidP="00BD1359">
      <w:pPr>
        <w:widowControl/>
        <w:pBdr>
          <w:top w:val="nil"/>
          <w:left w:val="nil"/>
          <w:bottom w:val="nil"/>
          <w:right w:val="nil"/>
          <w:between w:val="nil"/>
        </w:pBdr>
        <w:shd w:val="clear" w:color="auto" w:fill="FFFFFF"/>
        <w:spacing w:line="276" w:lineRule="auto"/>
        <w:ind w:right="3"/>
        <w:jc w:val="both"/>
        <w:rPr>
          <w:rFonts w:asciiTheme="minorHAnsi" w:eastAsia="Times New Roman" w:hAnsiTheme="minorHAnsi" w:cstheme="minorHAnsi"/>
          <w:color w:val="000000"/>
          <w:sz w:val="24"/>
          <w:szCs w:val="24"/>
        </w:rPr>
      </w:pPr>
    </w:p>
    <w:p w14:paraId="64D7004C" w14:textId="5A0F824C" w:rsidR="0076366E" w:rsidRPr="001C0C64" w:rsidRDefault="00BB51E7" w:rsidP="00BD1359">
      <w:pPr>
        <w:widowControl/>
        <w:pBdr>
          <w:top w:val="nil"/>
          <w:left w:val="nil"/>
          <w:bottom w:val="nil"/>
          <w:right w:val="nil"/>
          <w:between w:val="nil"/>
        </w:pBdr>
        <w:shd w:val="clear" w:color="auto" w:fill="FFFFFF"/>
        <w:spacing w:line="276" w:lineRule="auto"/>
        <w:ind w:right="3"/>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color w:val="000000"/>
          <w:sz w:val="24"/>
          <w:szCs w:val="24"/>
        </w:rPr>
        <w:t>La comprova del requisito è fornita mediante [</w:t>
      </w:r>
      <w:r w:rsidRPr="00AF38A8">
        <w:rPr>
          <w:rFonts w:asciiTheme="minorHAnsi" w:eastAsia="Times New Roman" w:hAnsiTheme="minorHAnsi" w:cstheme="minorHAnsi"/>
          <w:b/>
          <w:bCs/>
          <w:i/>
          <w:iCs/>
          <w:color w:val="000000"/>
          <w:sz w:val="24"/>
          <w:szCs w:val="24"/>
        </w:rPr>
        <w:t>specificare; ad esempio: certificati rilasciati dall’amministrazione/ente contraente, con l’indicazione dell’oggetto, dell’importo e del periodo di esecuzione</w:t>
      </w:r>
      <w:r w:rsidRPr="00AF38A8">
        <w:rPr>
          <w:rFonts w:asciiTheme="minorHAnsi" w:eastAsia="Times New Roman" w:hAnsiTheme="minorHAnsi" w:cstheme="minorHAnsi"/>
          <w:color w:val="000000"/>
          <w:sz w:val="24"/>
          <w:szCs w:val="24"/>
        </w:rPr>
        <w:t xml:space="preserve">] </w:t>
      </w:r>
      <w:bookmarkStart w:id="82" w:name="_heading=h.2y3w247" w:colFirst="0" w:colLast="0"/>
      <w:bookmarkEnd w:id="82"/>
    </w:p>
    <w:p w14:paraId="01ABAEB7" w14:textId="77777777" w:rsidR="00201785" w:rsidRPr="00AF38A8" w:rsidRDefault="00201785" w:rsidP="00BD1359">
      <w:pPr>
        <w:widowControl/>
        <w:pBdr>
          <w:top w:val="nil"/>
          <w:left w:val="nil"/>
          <w:bottom w:val="nil"/>
          <w:right w:val="nil"/>
          <w:between w:val="nil"/>
        </w:pBdr>
        <w:shd w:val="clear" w:color="auto" w:fill="FFFFFF"/>
        <w:spacing w:line="276" w:lineRule="auto"/>
        <w:ind w:left="362"/>
        <w:jc w:val="both"/>
        <w:rPr>
          <w:rFonts w:asciiTheme="minorHAnsi" w:eastAsia="Times New Roman" w:hAnsiTheme="minorHAnsi" w:cstheme="minorHAnsi"/>
          <w:sz w:val="24"/>
          <w:szCs w:val="24"/>
        </w:rPr>
      </w:pPr>
    </w:p>
    <w:p w14:paraId="27335B6C" w14:textId="77777777" w:rsidR="0076366E"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bookmarkStart w:id="83" w:name="_Toc139277032"/>
      <w:bookmarkStart w:id="84" w:name="_Toc140929827"/>
      <w:bookmarkStart w:id="85" w:name="_Toc141027269"/>
      <w:r w:rsidRPr="00AF38A8">
        <w:rPr>
          <w:rFonts w:asciiTheme="minorHAnsi" w:eastAsia="Times New Roman" w:hAnsiTheme="minorHAnsi" w:cstheme="minorHAnsi"/>
          <w:sz w:val="24"/>
          <w:szCs w:val="24"/>
        </w:rPr>
        <w:t>Indicazioni per i raggruppamenti temporanei, consorzi ordinari, aggregazioni di rete, GEIE</w:t>
      </w:r>
      <w:bookmarkEnd w:id="83"/>
      <w:bookmarkEnd w:id="84"/>
      <w:bookmarkEnd w:id="85"/>
    </w:p>
    <w:p w14:paraId="5740276E" w14:textId="13D92E7D" w:rsidR="0076366E" w:rsidRPr="00AF38A8" w:rsidRDefault="00BA3D28" w:rsidP="00BD1359">
      <w:pPr>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soggetti di cui all’articolo 66</w:t>
      </w:r>
      <w:r w:rsidR="001C0C6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1</w:t>
      </w:r>
      <w:r w:rsidR="001C0C6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f) del Codice devono possedere i requisiti di ordine speciale nei termini di seguito indicati.</w:t>
      </w:r>
    </w:p>
    <w:p w14:paraId="53359807" w14:textId="77777777" w:rsidR="0076366E" w:rsidRPr="00AF38A8" w:rsidRDefault="00BA3D28" w:rsidP="00BD1359">
      <w:pPr>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Alle aggregazioni di retisti, ai consorzi ordinari ed ai GEIE si applica la disciplina prevista per i raggruppamenti temporanei.</w:t>
      </w:r>
    </w:p>
    <w:p w14:paraId="4A16220E"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la mandante/mandataria di un raggruppamento temporaneo sia una sub‐associazione, nelle forme di consorzio ordinario costituito oppure di un’aggregazione di retisti, i relativi requisiti di partecipazione sono soddisfatti secondo le medesime modalità indicate per i raggruppamenti.</w:t>
      </w:r>
    </w:p>
    <w:p w14:paraId="7A8E3016" w14:textId="77777777" w:rsidR="001C0C64" w:rsidRDefault="001C0C64"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p w14:paraId="0191B40F" w14:textId="56C3AC70" w:rsidR="001C0C64" w:rsidRPr="001C0C64" w:rsidRDefault="001C0C64"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 xml:space="preserve">Requisiti di idoneità </w:t>
      </w:r>
    </w:p>
    <w:p w14:paraId="4E2540F0" w14:textId="6E791B10"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requisiti indicati nell’allegato II.12, parte V, di cui al punto 6.1</w:t>
      </w:r>
      <w:r w:rsidR="001C0C6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b</w:t>
      </w:r>
      <w:r w:rsidRPr="00BA3D28">
        <w:rPr>
          <w:rFonts w:asciiTheme="minorHAnsi" w:eastAsia="Times New Roman" w:hAnsiTheme="minorHAnsi" w:cstheme="minorHAnsi"/>
          <w:sz w:val="24"/>
          <w:szCs w:val="24"/>
        </w:rPr>
        <w:t>)</w:t>
      </w:r>
      <w:r w:rsidR="003A56F2">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devono essere posseduti da ciascun operatore economico associato, in base alla propria tipologia.</w:t>
      </w:r>
    </w:p>
    <w:p w14:paraId="54B9BD73" w14:textId="2BBB3BAD" w:rsidR="0076366E" w:rsidRPr="00A3780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i raggruppamenti temporanei, è condizione di partecipazione la presenza, quale progettista, di almeno un giovane professionista ai sensi dell’art. 39 dell’allegato II.12</w:t>
      </w:r>
      <w:r w:rsidR="001C0C64">
        <w:rPr>
          <w:rFonts w:asciiTheme="minorHAnsi" w:eastAsia="Times New Roman" w:hAnsiTheme="minorHAnsi" w:cstheme="minorHAnsi"/>
          <w:sz w:val="24"/>
          <w:szCs w:val="24"/>
        </w:rPr>
        <w:t xml:space="preserve"> del Codice</w:t>
      </w:r>
      <w:r w:rsidRPr="00AF38A8">
        <w:rPr>
          <w:rFonts w:asciiTheme="minorHAnsi" w:eastAsia="Times New Roman" w:hAnsiTheme="minorHAnsi" w:cstheme="minorHAnsi"/>
          <w:sz w:val="24"/>
          <w:szCs w:val="24"/>
        </w:rPr>
        <w:t>.</w:t>
      </w:r>
    </w:p>
    <w:p w14:paraId="1654DC26" w14:textId="4B5C99BD" w:rsidR="0076366E" w:rsidRPr="001C0C64"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1C0C64">
        <w:rPr>
          <w:rFonts w:asciiTheme="minorHAnsi" w:eastAsia="Times New Roman" w:hAnsiTheme="minorHAnsi" w:cstheme="minorHAnsi"/>
          <w:sz w:val="24"/>
          <w:szCs w:val="24"/>
        </w:rPr>
        <w:t xml:space="preserve">Il requisito relativo all’iscrizione nell’elenco speciale di cui al precedente </w:t>
      </w:r>
      <w:r w:rsidR="001C0C64">
        <w:rPr>
          <w:rFonts w:asciiTheme="minorHAnsi" w:eastAsia="Times New Roman" w:hAnsiTheme="minorHAnsi" w:cstheme="minorHAnsi"/>
          <w:sz w:val="24"/>
          <w:szCs w:val="24"/>
        </w:rPr>
        <w:t>punto</w:t>
      </w:r>
      <w:r w:rsidRPr="001C0C64">
        <w:rPr>
          <w:rFonts w:asciiTheme="minorHAnsi" w:eastAsia="Times New Roman" w:hAnsiTheme="minorHAnsi" w:cstheme="minorHAnsi"/>
          <w:sz w:val="24"/>
          <w:szCs w:val="24"/>
        </w:rPr>
        <w:t xml:space="preserve"> 6.1.</w:t>
      </w:r>
      <w:r w:rsidR="001C0C64" w:rsidRPr="001C0C64">
        <w:rPr>
          <w:rFonts w:asciiTheme="minorHAnsi" w:eastAsia="Times New Roman" w:hAnsiTheme="minorHAnsi" w:cstheme="minorHAnsi"/>
          <w:sz w:val="24"/>
          <w:szCs w:val="24"/>
        </w:rPr>
        <w:t>,</w:t>
      </w:r>
      <w:r w:rsidRPr="001C0C64">
        <w:rPr>
          <w:rFonts w:asciiTheme="minorHAnsi" w:eastAsia="Times New Roman" w:hAnsiTheme="minorHAnsi" w:cstheme="minorHAnsi"/>
          <w:sz w:val="24"/>
          <w:szCs w:val="24"/>
        </w:rPr>
        <w:t xml:space="preserve"> lett. a)</w:t>
      </w:r>
      <w:r w:rsidR="001C0C64" w:rsidRPr="001C0C64">
        <w:rPr>
          <w:rFonts w:asciiTheme="minorHAnsi" w:eastAsia="Times New Roman" w:hAnsiTheme="minorHAnsi" w:cstheme="minorHAnsi"/>
          <w:sz w:val="24"/>
          <w:szCs w:val="24"/>
        </w:rPr>
        <w:t>,</w:t>
      </w:r>
      <w:r w:rsidRPr="001C0C64">
        <w:rPr>
          <w:rFonts w:asciiTheme="minorHAnsi" w:eastAsia="Times New Roman" w:hAnsiTheme="minorHAnsi" w:cstheme="minorHAnsi"/>
          <w:sz w:val="24"/>
          <w:szCs w:val="24"/>
        </w:rPr>
        <w:t xml:space="preserve"> deve essere posseduto da ciascuno dei soggetti raggruppati/</w:t>
      </w:r>
      <w:proofErr w:type="spellStart"/>
      <w:r w:rsidRPr="001C0C64">
        <w:rPr>
          <w:rFonts w:asciiTheme="minorHAnsi" w:eastAsia="Times New Roman" w:hAnsiTheme="minorHAnsi" w:cstheme="minorHAnsi"/>
          <w:sz w:val="24"/>
          <w:szCs w:val="24"/>
        </w:rPr>
        <w:t>raggruppandi</w:t>
      </w:r>
      <w:proofErr w:type="spellEnd"/>
      <w:r w:rsidRPr="001C0C64">
        <w:rPr>
          <w:rFonts w:asciiTheme="minorHAnsi" w:eastAsia="Times New Roman" w:hAnsiTheme="minorHAnsi" w:cstheme="minorHAnsi"/>
          <w:sz w:val="24"/>
          <w:szCs w:val="24"/>
        </w:rPr>
        <w:t>, consorziati/</w:t>
      </w:r>
      <w:proofErr w:type="spellStart"/>
      <w:r w:rsidRPr="001C0C64">
        <w:rPr>
          <w:rFonts w:asciiTheme="minorHAnsi" w:eastAsia="Times New Roman" w:hAnsiTheme="minorHAnsi" w:cstheme="minorHAnsi"/>
          <w:sz w:val="24"/>
          <w:szCs w:val="24"/>
        </w:rPr>
        <w:t>consorziandi</w:t>
      </w:r>
      <w:proofErr w:type="spellEnd"/>
      <w:r w:rsidRPr="001C0C64">
        <w:rPr>
          <w:rFonts w:asciiTheme="minorHAnsi" w:eastAsia="Times New Roman" w:hAnsiTheme="minorHAnsi" w:cstheme="minorHAnsi"/>
          <w:sz w:val="24"/>
          <w:szCs w:val="24"/>
        </w:rPr>
        <w:t xml:space="preserve"> o GEIE (ivi compreso il giovane professionista)</w:t>
      </w:r>
      <w:r w:rsidR="001C0C64">
        <w:rPr>
          <w:rFonts w:asciiTheme="minorHAnsi" w:eastAsia="Times New Roman" w:hAnsiTheme="minorHAnsi" w:cstheme="minorHAnsi"/>
          <w:sz w:val="24"/>
          <w:szCs w:val="24"/>
        </w:rPr>
        <w:t>.</w:t>
      </w:r>
    </w:p>
    <w:p w14:paraId="508E6775" w14:textId="48093D5C"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86" w:name="_Hlk139557917"/>
      <w:r w:rsidRPr="00AF38A8">
        <w:rPr>
          <w:rFonts w:asciiTheme="minorHAnsi" w:eastAsia="Times New Roman" w:hAnsiTheme="minorHAnsi" w:cstheme="minorHAnsi"/>
          <w:sz w:val="24"/>
          <w:szCs w:val="24"/>
        </w:rPr>
        <w:t>Il requisito relativo all’iscrizione nel Registro delle Imprese di cui di cui al punto 6.1</w:t>
      </w:r>
      <w:r w:rsidR="001C0C6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c)</w:t>
      </w:r>
      <w:r w:rsidR="001C0C6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deve essere posseduto:</w:t>
      </w:r>
    </w:p>
    <w:p w14:paraId="0223E28D" w14:textId="77777777" w:rsidR="0076366E" w:rsidRPr="00AF38A8" w:rsidRDefault="00BA3D28" w:rsidP="00BD1359">
      <w:pPr>
        <w:numPr>
          <w:ilvl w:val="0"/>
          <w:numId w:val="12"/>
        </w:numPr>
        <w:pBdr>
          <w:top w:val="nil"/>
          <w:left w:val="nil"/>
          <w:bottom w:val="nil"/>
          <w:right w:val="nil"/>
          <w:between w:val="nil"/>
        </w:pBdr>
        <w:spacing w:before="116" w:line="276" w:lineRule="auto"/>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 ciascun componente del raggruppamento/consorzio/GEIE anche da costituire, nonché dal GEIE medesimo;</w:t>
      </w:r>
    </w:p>
    <w:p w14:paraId="35B6F60B" w14:textId="77777777" w:rsidR="0076366E" w:rsidRPr="00AF38A8" w:rsidRDefault="00BA3D28" w:rsidP="00BD1359">
      <w:pPr>
        <w:numPr>
          <w:ilvl w:val="0"/>
          <w:numId w:val="12"/>
        </w:numPr>
        <w:pBdr>
          <w:top w:val="nil"/>
          <w:left w:val="nil"/>
          <w:bottom w:val="nil"/>
          <w:right w:val="nil"/>
          <w:between w:val="nil"/>
        </w:pBdr>
        <w:spacing w:before="116" w:line="276" w:lineRule="auto"/>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da ciascun componente dell’aggregazione di rete nonché dall’organo comune nel caso in </w:t>
      </w:r>
      <w:r w:rsidRPr="00AF38A8">
        <w:rPr>
          <w:rFonts w:asciiTheme="minorHAnsi" w:eastAsia="Times New Roman" w:hAnsiTheme="minorHAnsi" w:cstheme="minorHAnsi"/>
          <w:sz w:val="24"/>
          <w:szCs w:val="24"/>
        </w:rPr>
        <w:lastRenderedPageBreak/>
        <w:t>cui questi abbia soggettività giuridica.</w:t>
      </w:r>
    </w:p>
    <w:p w14:paraId="4709CE07" w14:textId="0C7E9F2C"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d), relativo all’iscrizione all’Albo è posseduto dai professionisti che nel gruppo di lavoro sono incaricati dell’esecuzione delle prestazioni oggetto dell’appalto.</w:t>
      </w:r>
    </w:p>
    <w:bookmarkEnd w:id="86"/>
    <w:p w14:paraId="5E31BEB4" w14:textId="77777777" w:rsidR="0076366E" w:rsidRPr="00AF38A8" w:rsidRDefault="0076366E" w:rsidP="00BD1359">
      <w:pPr>
        <w:pBdr>
          <w:top w:val="nil"/>
          <w:left w:val="nil"/>
          <w:bottom w:val="nil"/>
          <w:right w:val="nil"/>
          <w:between w:val="nil"/>
        </w:pBdr>
        <w:spacing w:line="276" w:lineRule="auto"/>
        <w:rPr>
          <w:rFonts w:asciiTheme="minorHAnsi" w:eastAsia="Times New Roman" w:hAnsiTheme="minorHAnsi" w:cstheme="minorHAnsi"/>
          <w:sz w:val="24"/>
          <w:szCs w:val="24"/>
          <w:highlight w:val="yellow"/>
        </w:rPr>
      </w:pPr>
    </w:p>
    <w:p w14:paraId="356DE944" w14:textId="3A2DD500"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b/>
          <w:i/>
          <w:sz w:val="24"/>
          <w:szCs w:val="24"/>
        </w:rPr>
        <w:t>[In caso di affidamento di incarichi di coordinatore della sicurezza</w:t>
      </w:r>
      <w:r w:rsidRPr="00AF38A8">
        <w:rPr>
          <w:rFonts w:asciiTheme="minorHAnsi" w:eastAsia="Times New Roman" w:hAnsiTheme="minorHAnsi" w:cstheme="minorHAnsi"/>
          <w:sz w:val="24"/>
          <w:szCs w:val="24"/>
        </w:rPr>
        <w:t>] 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e)</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relativo all’abilitazione di cui all’art. 98 del d.lgs. </w:t>
      </w:r>
      <w:r w:rsidR="00A37808">
        <w:rPr>
          <w:rFonts w:asciiTheme="minorHAnsi" w:eastAsia="Times New Roman" w:hAnsiTheme="minorHAnsi" w:cstheme="minorHAnsi"/>
          <w:sz w:val="24"/>
          <w:szCs w:val="24"/>
        </w:rPr>
        <w:t xml:space="preserve">n. </w:t>
      </w:r>
      <w:r w:rsidRPr="00AF38A8">
        <w:rPr>
          <w:rFonts w:asciiTheme="minorHAnsi" w:eastAsia="Times New Roman" w:hAnsiTheme="minorHAnsi" w:cstheme="minorHAnsi"/>
          <w:sz w:val="24"/>
          <w:szCs w:val="24"/>
        </w:rPr>
        <w:t>81/2008 è posseduto dai professionisti che nel gruppo di lavoro sono indicati come incaricati della prestazione di coordinamento della sicurezza.</w:t>
      </w:r>
    </w:p>
    <w:p w14:paraId="549AA26E" w14:textId="4411F562"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caso sia richiesta la relazione geologica</w:t>
      </w:r>
      <w:r w:rsidRPr="00AF38A8">
        <w:rPr>
          <w:rFonts w:asciiTheme="minorHAnsi" w:eastAsia="Times New Roman" w:hAnsiTheme="minorHAnsi" w:cstheme="minorHAnsi"/>
          <w:sz w:val="24"/>
          <w:szCs w:val="24"/>
        </w:rPr>
        <w:t>] 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f)</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relativo all’iscrizione all’albo dei geologi è posseduto dai professionisti che nel gruppo di lavoro sono indicati come incaricati della relazione geologica.</w:t>
      </w:r>
    </w:p>
    <w:p w14:paraId="4B562FCD" w14:textId="5A4B4650"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caso sia richiesta l’abilitazione antincendio</w:t>
      </w:r>
      <w:r w:rsidRPr="00AF38A8">
        <w:rPr>
          <w:rFonts w:asciiTheme="minorHAnsi" w:eastAsia="Times New Roman" w:hAnsiTheme="minorHAnsi" w:cstheme="minorHAnsi"/>
          <w:sz w:val="24"/>
          <w:szCs w:val="24"/>
        </w:rPr>
        <w:t>] 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g)</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relativo all’iscrizione nell’elenco del Ministero dell’interno ai sensi dell’art. 16 del d.lgs. 139 del 8 marzo 2006 come professionista antincendio è posseduto dai professionisti che nel gruppo di lavoro sono indicati come incaricati del relativo servizio.</w:t>
      </w:r>
    </w:p>
    <w:p w14:paraId="0A28B082" w14:textId="77777777" w:rsidR="00FA3098" w:rsidRPr="00AF38A8" w:rsidRDefault="00FA309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p w14:paraId="59766B2B" w14:textId="56081F4D" w:rsidR="00FA3098" w:rsidRPr="00AF38A8" w:rsidRDefault="00FA309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Requisiti di capacità economico finanziaria</w:t>
      </w:r>
    </w:p>
    <w:p w14:paraId="3F5EDB54" w14:textId="14D55251" w:rsidR="00FA3098" w:rsidRPr="00A3780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Se richiesto requisito di fatturato globale</w:t>
      </w:r>
      <w:r w:rsidRPr="00AF38A8">
        <w:rPr>
          <w:rFonts w:asciiTheme="minorHAnsi" w:eastAsia="Times New Roman" w:hAnsiTheme="minorHAnsi" w:cstheme="minorHAnsi"/>
          <w:sz w:val="24"/>
          <w:szCs w:val="24"/>
        </w:rPr>
        <w:t>] Il requisito relativo al fatturato globale di cui al punto 6.2 deve essere soddisfatto dal raggruppamento temporaneo nel complesso.</w:t>
      </w:r>
    </w:p>
    <w:p w14:paraId="262B529B" w14:textId="3510F6BD"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w:t>
      </w:r>
    </w:p>
    <w:p w14:paraId="78DBAC38" w14:textId="49452896"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Se richiesto</w:t>
      </w:r>
      <w:r w:rsidRPr="00AF38A8">
        <w:rPr>
          <w:rFonts w:asciiTheme="minorHAnsi" w:eastAsia="Times New Roman" w:hAnsiTheme="minorHAnsi" w:cstheme="minorHAnsi"/>
          <w:sz w:val="24"/>
          <w:szCs w:val="24"/>
        </w:rPr>
        <w:t>] Il requisito relativo al fatturato globale di cui punto 6.2 deve essere soddisfatto dal raggruppamento temporaneo nei termini di seguito indicati … [</w:t>
      </w:r>
      <w:r w:rsidRPr="00AF38A8">
        <w:rPr>
          <w:rFonts w:asciiTheme="minorHAnsi" w:eastAsia="Times New Roman" w:hAnsiTheme="minorHAnsi" w:cstheme="minorHAnsi"/>
          <w:i/>
          <w:sz w:val="24"/>
          <w:szCs w:val="24"/>
        </w:rPr>
        <w:t>ai sensi dell’art. 68 comma 4 lett. b) è possibile indicare le modalità con cui il raggruppamento deve ottemperare ai requisiti, purché ciò sia proporzionato e giustificato da motivazioni obiettive</w:t>
      </w:r>
      <w:r w:rsidRPr="00AF38A8">
        <w:rPr>
          <w:rFonts w:asciiTheme="minorHAnsi" w:eastAsia="Times New Roman" w:hAnsiTheme="minorHAnsi" w:cstheme="minorHAnsi"/>
          <w:sz w:val="24"/>
          <w:szCs w:val="24"/>
        </w:rPr>
        <w:t>].</w:t>
      </w:r>
    </w:p>
    <w:p w14:paraId="1E6ACDAB" w14:textId="77777777" w:rsidR="0076366E" w:rsidRPr="00AF38A8" w:rsidRDefault="0076366E" w:rsidP="00BD1359">
      <w:pPr>
        <w:pBdr>
          <w:top w:val="nil"/>
          <w:left w:val="nil"/>
          <w:bottom w:val="nil"/>
          <w:right w:val="nil"/>
          <w:between w:val="nil"/>
        </w:pBdr>
        <w:spacing w:line="276" w:lineRule="auto"/>
        <w:rPr>
          <w:rFonts w:asciiTheme="minorHAnsi" w:eastAsia="Times New Roman" w:hAnsiTheme="minorHAnsi" w:cstheme="minorHAnsi"/>
          <w:sz w:val="24"/>
          <w:szCs w:val="24"/>
          <w:highlight w:val="yellow"/>
        </w:rPr>
      </w:pPr>
    </w:p>
    <w:p w14:paraId="0260CD33" w14:textId="66F92978"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Requisiti di capacità tecnic</w:t>
      </w:r>
      <w:r w:rsidR="00A37808">
        <w:rPr>
          <w:rFonts w:asciiTheme="minorHAnsi" w:eastAsia="Times New Roman" w:hAnsiTheme="minorHAnsi" w:cstheme="minorHAnsi"/>
          <w:b/>
          <w:sz w:val="24"/>
          <w:szCs w:val="24"/>
        </w:rPr>
        <w:t xml:space="preserve">he e </w:t>
      </w:r>
      <w:r w:rsidRPr="00AF38A8">
        <w:rPr>
          <w:rFonts w:asciiTheme="minorHAnsi" w:eastAsia="Times New Roman" w:hAnsiTheme="minorHAnsi" w:cstheme="minorHAnsi"/>
          <w:b/>
          <w:sz w:val="24"/>
          <w:szCs w:val="24"/>
        </w:rPr>
        <w:t>professional</w:t>
      </w:r>
      <w:r w:rsidR="00A37808">
        <w:rPr>
          <w:rFonts w:asciiTheme="minorHAnsi" w:eastAsia="Times New Roman" w:hAnsiTheme="minorHAnsi" w:cstheme="minorHAnsi"/>
          <w:b/>
          <w:sz w:val="24"/>
          <w:szCs w:val="24"/>
        </w:rPr>
        <w:t>i</w:t>
      </w:r>
    </w:p>
    <w:p w14:paraId="6A665B36" w14:textId="6E609CD1"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sz w:val="24"/>
          <w:szCs w:val="24"/>
        </w:rPr>
        <w:t>Se richiesti servizi di ingegneria e architettura “di punta”</w:t>
      </w:r>
      <w:r w:rsidRPr="00AF38A8">
        <w:rPr>
          <w:rFonts w:asciiTheme="minorHAnsi" w:eastAsia="Times New Roman" w:hAnsiTheme="minorHAnsi" w:cstheme="minorHAnsi"/>
          <w:sz w:val="24"/>
          <w:szCs w:val="24"/>
        </w:rPr>
        <w:t>] Il requisito del servizio di punta di cui al punto 6.3 richiesto in relazione alla prestazione … [</w:t>
      </w:r>
      <w:r w:rsidRPr="00AF38A8">
        <w:rPr>
          <w:rFonts w:asciiTheme="minorHAnsi" w:eastAsia="Times New Roman" w:hAnsiTheme="minorHAnsi" w:cstheme="minorHAnsi"/>
          <w:i/>
          <w:sz w:val="24"/>
          <w:szCs w:val="24"/>
        </w:rPr>
        <w:t>indicare la prestazione</w:t>
      </w:r>
      <w:r w:rsidRPr="00AF38A8">
        <w:rPr>
          <w:rFonts w:asciiTheme="minorHAnsi" w:eastAsia="Times New Roman" w:hAnsiTheme="minorHAnsi" w:cstheme="minorHAnsi"/>
          <w:sz w:val="24"/>
          <w:szCs w:val="24"/>
        </w:rPr>
        <w:t xml:space="preserve">] deve essere posseduto da uno dei componenti il raggruppamento </w:t>
      </w:r>
      <w:r w:rsidRPr="00AF38A8">
        <w:rPr>
          <w:rFonts w:asciiTheme="minorHAnsi" w:eastAsia="Times New Roman" w:hAnsiTheme="minorHAnsi" w:cstheme="minorHAnsi"/>
          <w:iCs/>
          <w:sz w:val="24"/>
          <w:szCs w:val="24"/>
        </w:rPr>
        <w:t>oppure da due diversi componenti del raggruppamento per un importo complessivo pari a quello richiesto nel singolo ID, ferma restando l’infrazionabilità del singolo servizio</w:t>
      </w:r>
      <w:r w:rsidRPr="00AF38A8">
        <w:rPr>
          <w:rFonts w:asciiTheme="minorHAnsi" w:eastAsia="Times New Roman" w:hAnsiTheme="minorHAnsi" w:cstheme="minorHAnsi"/>
          <w:i/>
          <w:sz w:val="24"/>
          <w:szCs w:val="24"/>
        </w:rPr>
        <w:t xml:space="preserve"> (A</w:t>
      </w:r>
      <w:r w:rsidR="00A37808">
        <w:rPr>
          <w:rFonts w:asciiTheme="minorHAnsi" w:eastAsia="Times New Roman" w:hAnsiTheme="minorHAnsi" w:cstheme="minorHAnsi"/>
          <w:i/>
          <w:sz w:val="24"/>
          <w:szCs w:val="24"/>
        </w:rPr>
        <w:t>NAC</w:t>
      </w:r>
      <w:r w:rsidRPr="00AF38A8">
        <w:rPr>
          <w:rFonts w:asciiTheme="minorHAnsi" w:eastAsia="Times New Roman" w:hAnsiTheme="minorHAnsi" w:cstheme="minorHAnsi"/>
          <w:i/>
          <w:sz w:val="24"/>
          <w:szCs w:val="24"/>
        </w:rPr>
        <w:t xml:space="preserve"> Delibera n. 715 del 27.10.2021) </w:t>
      </w:r>
    </w:p>
    <w:p w14:paraId="73C619DB"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w:t>
      </w:r>
    </w:p>
    <w:p w14:paraId="11DACE56" w14:textId="13D856AF" w:rsidR="0076366E"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requisito del servizio di punta di cui al punto 6.3 richiesto in relazione alla prestazione… [</w:t>
      </w:r>
      <w:r w:rsidRPr="00AF38A8">
        <w:rPr>
          <w:rFonts w:asciiTheme="minorHAnsi" w:eastAsia="Times New Roman" w:hAnsiTheme="minorHAnsi" w:cstheme="minorHAnsi"/>
          <w:i/>
          <w:sz w:val="24"/>
          <w:szCs w:val="24"/>
        </w:rPr>
        <w:t>indicare la prestazione</w:t>
      </w:r>
      <w:r w:rsidRPr="00AF38A8">
        <w:rPr>
          <w:rFonts w:asciiTheme="minorHAnsi" w:eastAsia="Times New Roman" w:hAnsiTheme="minorHAnsi" w:cstheme="minorHAnsi"/>
          <w:sz w:val="24"/>
          <w:szCs w:val="24"/>
        </w:rPr>
        <w:t>] deve essere soddisfatto dal raggruppamento temporaneo nei termini di seguito indicati … [</w:t>
      </w:r>
      <w:r w:rsidRPr="00AF38A8">
        <w:rPr>
          <w:rFonts w:asciiTheme="minorHAnsi" w:eastAsia="Times New Roman" w:hAnsiTheme="minorHAnsi" w:cstheme="minorHAnsi"/>
          <w:i/>
          <w:sz w:val="24"/>
          <w:szCs w:val="24"/>
        </w:rPr>
        <w:t>ai sensi dell’art. 68 comma 4 lett. b) è possibile indicare le modalità con cui il raggruppamento deve ottemperare ai requisiti, purché ciò sia proporzionato e giustificato da motivazioni obiettiv</w:t>
      </w:r>
      <w:r w:rsidRPr="00AF38A8">
        <w:rPr>
          <w:rFonts w:asciiTheme="minorHAnsi" w:eastAsia="Times New Roman" w:hAnsiTheme="minorHAnsi" w:cstheme="minorHAnsi"/>
          <w:sz w:val="24"/>
          <w:szCs w:val="24"/>
        </w:rPr>
        <w:t>e].</w:t>
      </w:r>
    </w:p>
    <w:p w14:paraId="3BCBC884" w14:textId="77777777" w:rsidR="00A37808" w:rsidRPr="00AF38A8" w:rsidRDefault="00A3780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23F5FFA" w14:textId="77777777" w:rsidR="0076366E" w:rsidRPr="002B5D71" w:rsidRDefault="00BA3D28"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2B5D71">
        <w:rPr>
          <w:rFonts w:ascii="Titillium" w:hAnsi="Titillium"/>
          <w:i/>
          <w:sz w:val="18"/>
          <w:szCs w:val="18"/>
        </w:rPr>
        <w:t>N.B.: se richiesti servizi di punta in prestazioni diverse ripetere la dicitura per ogni prestazione</w:t>
      </w:r>
      <w:r w:rsidR="002B5D71" w:rsidRPr="002B5D71">
        <w:rPr>
          <w:rFonts w:ascii="Titillium" w:hAnsi="Titillium"/>
          <w:i/>
          <w:sz w:val="18"/>
          <w:szCs w:val="18"/>
        </w:rPr>
        <w:t>.</w:t>
      </w:r>
    </w:p>
    <w:p w14:paraId="4E0B43F6" w14:textId="77777777" w:rsidR="00B822AB" w:rsidRDefault="00B822AB"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5E58175" w14:textId="4C8CBBBE" w:rsidR="00A3780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37808">
        <w:rPr>
          <w:rFonts w:asciiTheme="minorHAnsi" w:eastAsia="Times New Roman" w:hAnsiTheme="minorHAnsi" w:cstheme="minorHAnsi"/>
          <w:b/>
          <w:i/>
          <w:sz w:val="24"/>
          <w:szCs w:val="24"/>
        </w:rPr>
        <w:t>Se richiesto elenco di servizi analoghi</w:t>
      </w:r>
      <w:r w:rsidRPr="00AF38A8">
        <w:rPr>
          <w:rFonts w:asciiTheme="minorHAnsi" w:eastAsia="Times New Roman" w:hAnsiTheme="minorHAnsi" w:cstheme="minorHAnsi"/>
          <w:sz w:val="24"/>
          <w:szCs w:val="24"/>
        </w:rPr>
        <w:t xml:space="preserve">] </w:t>
      </w:r>
    </w:p>
    <w:p w14:paraId="566C6F66" w14:textId="6D822C2C" w:rsidR="0076366E" w:rsidRPr="00A3780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Il requisito dell’elenco dei servizi analoghi di cui al precedente punto 6.3 richiesto in relazione alla prestazione … [</w:t>
      </w:r>
      <w:r w:rsidRPr="00AF38A8">
        <w:rPr>
          <w:rFonts w:asciiTheme="minorHAnsi" w:eastAsia="Times New Roman" w:hAnsiTheme="minorHAnsi" w:cstheme="minorHAnsi"/>
          <w:i/>
          <w:sz w:val="24"/>
          <w:szCs w:val="24"/>
        </w:rPr>
        <w:t>indicare la prestazione</w:t>
      </w:r>
      <w:r w:rsidRPr="00AF38A8">
        <w:rPr>
          <w:rFonts w:asciiTheme="minorHAnsi" w:eastAsia="Times New Roman" w:hAnsiTheme="minorHAnsi" w:cstheme="minorHAnsi"/>
          <w:sz w:val="24"/>
          <w:szCs w:val="24"/>
        </w:rPr>
        <w:t>] deve essere posseduto dal raggruppamento nel complesso.</w:t>
      </w:r>
    </w:p>
    <w:p w14:paraId="5FB9D3A0" w14:textId="0B6D01F4" w:rsidR="0076366E" w:rsidRPr="00A3780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w:t>
      </w:r>
    </w:p>
    <w:p w14:paraId="76F877E4"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Se richiesto</w:t>
      </w:r>
      <w:r w:rsidRPr="00AF38A8">
        <w:rPr>
          <w:rFonts w:asciiTheme="minorHAnsi" w:eastAsia="Times New Roman" w:hAnsiTheme="minorHAnsi" w:cstheme="minorHAnsi"/>
          <w:sz w:val="24"/>
          <w:szCs w:val="24"/>
        </w:rPr>
        <w:t>] Il requisito dell’elenco dei servizi analoghi di cui al precedente punto 6.3 lett. a) deve essere soddisfatto dal raggruppamento temporaneo nei termini di seguito indicati … [</w:t>
      </w:r>
      <w:r w:rsidRPr="00AF38A8">
        <w:rPr>
          <w:rFonts w:asciiTheme="minorHAnsi" w:eastAsia="Times New Roman" w:hAnsiTheme="minorHAnsi" w:cstheme="minorHAnsi"/>
          <w:i/>
          <w:sz w:val="24"/>
          <w:szCs w:val="24"/>
        </w:rPr>
        <w:t>ai sensi dell’art. 68 comma 4 lett. b) è possibile indicare le modalità con cui il raggruppamento deve ottemperare ai requisiti, purché ciò sia proporzionato e giustificato da motivazioni obiettive</w:t>
      </w:r>
      <w:r w:rsidRPr="00AF38A8">
        <w:rPr>
          <w:rFonts w:asciiTheme="minorHAnsi" w:eastAsia="Times New Roman" w:hAnsiTheme="minorHAnsi" w:cstheme="minorHAnsi"/>
          <w:sz w:val="24"/>
          <w:szCs w:val="24"/>
        </w:rPr>
        <w:t>].</w:t>
      </w:r>
    </w:p>
    <w:p w14:paraId="351C4CB5"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77E8F19" w14:textId="77777777" w:rsidR="0076366E" w:rsidRPr="002B5D71" w:rsidRDefault="00BA3D28"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2B5D71">
        <w:rPr>
          <w:rFonts w:ascii="Titillium" w:hAnsi="Titillium"/>
          <w:i/>
          <w:sz w:val="18"/>
          <w:szCs w:val="18"/>
        </w:rPr>
        <w:t>N.B.: se richiesto elenco di servizi in prestazioni diverse ripetere la dicitura per ogni prestazione</w:t>
      </w:r>
      <w:r w:rsidR="002B5D71">
        <w:rPr>
          <w:rFonts w:ascii="Titillium" w:hAnsi="Titillium"/>
          <w:i/>
          <w:sz w:val="18"/>
          <w:szCs w:val="18"/>
        </w:rPr>
        <w:t>.</w:t>
      </w:r>
    </w:p>
    <w:p w14:paraId="25237436" w14:textId="160BAB16"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un raggruppamento abbia estromesso o sostituito un partecipante allo stesso poiché privo di un requisito di ordine speciale di cui all’articolo 100 del Codice, si valutano le misure adottate ai sensi dell’articolo 97 del Codice al fine di decidere sull’esclusione del raggruppamento.</w:t>
      </w:r>
    </w:p>
    <w:p w14:paraId="5C2DF4B6"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A11D3B0" w14:textId="77777777" w:rsidR="0076366E"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bookmarkStart w:id="87" w:name="_Toc139277033"/>
      <w:bookmarkStart w:id="88" w:name="_Toc140929828"/>
      <w:bookmarkStart w:id="89" w:name="_Toc141027270"/>
      <w:bookmarkStart w:id="90" w:name="_Hlk139559029"/>
      <w:r w:rsidRPr="00AF38A8">
        <w:rPr>
          <w:rFonts w:asciiTheme="minorHAnsi" w:eastAsia="Times New Roman" w:hAnsiTheme="minorHAnsi" w:cstheme="minorHAnsi"/>
          <w:sz w:val="24"/>
          <w:szCs w:val="24"/>
        </w:rPr>
        <w:t>Indicazioni sui requisiti speciali nei consorzi stabili</w:t>
      </w:r>
      <w:bookmarkEnd w:id="87"/>
      <w:r w:rsidRPr="00AF38A8">
        <w:rPr>
          <w:rFonts w:asciiTheme="minorHAnsi" w:eastAsia="Times New Roman" w:hAnsiTheme="minorHAnsi" w:cstheme="minorHAnsi"/>
          <w:sz w:val="24"/>
          <w:szCs w:val="24"/>
        </w:rPr>
        <w:t xml:space="preserve"> di società di professionisti e di società di ingegneria e dei GEIE</w:t>
      </w:r>
      <w:bookmarkEnd w:id="88"/>
      <w:bookmarkEnd w:id="89"/>
      <w:r w:rsidRPr="00AF38A8">
        <w:rPr>
          <w:rFonts w:asciiTheme="minorHAnsi" w:eastAsia="Times New Roman" w:hAnsiTheme="minorHAnsi" w:cstheme="minorHAnsi"/>
          <w:sz w:val="24"/>
          <w:szCs w:val="24"/>
        </w:rPr>
        <w:t xml:space="preserve"> </w:t>
      </w:r>
    </w:p>
    <w:p w14:paraId="48F30484"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E012647" w14:textId="58746F34"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91" w:name="_Hlk139558146"/>
      <w:bookmarkEnd w:id="90"/>
      <w:r w:rsidRPr="00AF38A8">
        <w:rPr>
          <w:rFonts w:asciiTheme="minorHAnsi" w:eastAsia="Times New Roman" w:hAnsiTheme="minorHAnsi" w:cstheme="minorHAnsi"/>
          <w:sz w:val="24"/>
          <w:szCs w:val="24"/>
        </w:rPr>
        <w:t xml:space="preserve">Il requisito relativo all’iscrizione nell’elenco speciale di cui al precedente paragrafo 6.1. lett. a) deve essere posseduto dal Consorzio stabile e dai consorziati indicati come esecutori. </w:t>
      </w:r>
    </w:p>
    <w:bookmarkEnd w:id="91"/>
    <w:p w14:paraId="7D2641F6" w14:textId="40A42784"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requisiti indicati nella parte V dell’allegato II.12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b) devono essere posseduti:</w:t>
      </w:r>
    </w:p>
    <w:p w14:paraId="3FBD8835" w14:textId="77777777" w:rsidR="0076366E" w:rsidRPr="00AF38A8" w:rsidRDefault="00BA3D28" w:rsidP="00BD1359">
      <w:pPr>
        <w:numPr>
          <w:ilvl w:val="0"/>
          <w:numId w:val="2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i consorzi di società di professionisti e di società di ingegneria, dalle consorziate secondo quanto indicato all’art. 38 del citato allegato.</w:t>
      </w:r>
    </w:p>
    <w:p w14:paraId="651F2D3F" w14:textId="77777777" w:rsidR="0076366E" w:rsidRPr="00AF38A8" w:rsidRDefault="00BA3D28" w:rsidP="00BD1359">
      <w:pPr>
        <w:numPr>
          <w:ilvl w:val="0"/>
          <w:numId w:val="2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i consorzi di professionisti, dai consorziati secondo quanto indicato all’art. 34 del citato allegato.</w:t>
      </w:r>
    </w:p>
    <w:p w14:paraId="7817BB7A" w14:textId="58BEB7BC"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requisito relativo all’iscrizione nel registro tenuto dalla Camera di commercio industria, artigianato e agricoltura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c)</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deve essere posseduto dal consorzio e dalle società consorziate indicate come esecutrici.</w:t>
      </w:r>
    </w:p>
    <w:p w14:paraId="41801F3F" w14:textId="279B97EA"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d), relativo all’iscrizione all’Albo è posseduto dai professionisti che nel gruppo di lavoro sono incaricati dell’esecuzione delle prestazioni oggetto dell’appalto.</w:t>
      </w:r>
    </w:p>
    <w:p w14:paraId="6B3B8B53"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65CEE61" w14:textId="38FE871E"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caso di affidamento di incarichi di coordinatore della sicurezza</w:t>
      </w:r>
      <w:r w:rsidRPr="00AF38A8">
        <w:rPr>
          <w:rFonts w:asciiTheme="minorHAnsi" w:eastAsia="Times New Roman" w:hAnsiTheme="minorHAnsi" w:cstheme="minorHAnsi"/>
          <w:sz w:val="24"/>
          <w:szCs w:val="24"/>
        </w:rPr>
        <w:t>] 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e)</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relativo all’abilitazione di cui all’art. 98 del d.lgs. 81/2008 è posseduto dai professionisti che nel gruppo di lavoro sono indicati come incaricati della prestazione di coordinamento della sicurezza.</w:t>
      </w:r>
    </w:p>
    <w:p w14:paraId="1631E990" w14:textId="641D9172"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caso sia richiesta la relazione geologica</w:t>
      </w:r>
      <w:r w:rsidRPr="00AF38A8">
        <w:rPr>
          <w:rFonts w:asciiTheme="minorHAnsi" w:eastAsia="Times New Roman" w:hAnsiTheme="minorHAnsi" w:cstheme="minorHAnsi"/>
          <w:sz w:val="24"/>
          <w:szCs w:val="24"/>
        </w:rPr>
        <w:t>] 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f)</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relativo all’iscrizione all’albo dei geologi è posseduto dai professionisti che nel gruppo di lavoro sono indicati come incaricati della relazione geologica.</w:t>
      </w:r>
    </w:p>
    <w:p w14:paraId="13DA097D" w14:textId="5081CBCF"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caso sia richiesta l’abilitazione antincendio</w:t>
      </w:r>
      <w:r w:rsidRPr="00AF38A8">
        <w:rPr>
          <w:rFonts w:asciiTheme="minorHAnsi" w:eastAsia="Times New Roman" w:hAnsiTheme="minorHAnsi" w:cstheme="minorHAnsi"/>
          <w:sz w:val="24"/>
          <w:szCs w:val="24"/>
        </w:rPr>
        <w:t>] 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g)</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relativo all’iscrizione nell’elenco del Ministero dell’interno ai sensi dell’art. 16 del d.lgs. 8 marzo 2006</w:t>
      </w:r>
      <w:r w:rsidR="00A37808">
        <w:rPr>
          <w:rFonts w:asciiTheme="minorHAnsi" w:eastAsia="Times New Roman" w:hAnsiTheme="minorHAnsi" w:cstheme="minorHAnsi"/>
          <w:sz w:val="24"/>
          <w:szCs w:val="24"/>
        </w:rPr>
        <w:t>, n. 139</w:t>
      </w:r>
      <w:r w:rsidRPr="00AF38A8">
        <w:rPr>
          <w:rFonts w:asciiTheme="minorHAnsi" w:eastAsia="Times New Roman" w:hAnsiTheme="minorHAnsi" w:cstheme="minorHAnsi"/>
          <w:sz w:val="24"/>
          <w:szCs w:val="24"/>
        </w:rPr>
        <w:t xml:space="preserve"> come professionista antincendio è posseduto dai professionisti che nel gruppo di lavoro sono indicati come incaricati del relativo servizio.</w:t>
      </w:r>
    </w:p>
    <w:p w14:paraId="2EAAC186"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53B84B5" w14:textId="77777777" w:rsidR="0004141F" w:rsidRPr="00AF38A8" w:rsidRDefault="0004141F"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p w14:paraId="67CF0599" w14:textId="58AF3971"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Requisiti di capacità economico finanziaria e tecnico‐professionale</w:t>
      </w:r>
    </w:p>
    <w:p w14:paraId="5C661BF0" w14:textId="1E749E91" w:rsidR="0076366E" w:rsidRPr="00A3780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Se richiesti requisiti di capacità economica e finanziaria/tecnica e professionale di cui ai punti 6.2 e 6.3</w:t>
      </w:r>
      <w:r w:rsidRPr="00AF38A8">
        <w:rPr>
          <w:rFonts w:asciiTheme="minorHAnsi" w:eastAsia="Times New Roman" w:hAnsiTheme="minorHAnsi" w:cstheme="minorHAnsi"/>
          <w:sz w:val="24"/>
          <w:szCs w:val="24"/>
        </w:rPr>
        <w:t>]</w:t>
      </w:r>
    </w:p>
    <w:p w14:paraId="544A9D2E" w14:textId="44A84232"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requisiti di capacità tecnica e finanziaria, ai sensi dell’art. 67</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2</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a)</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Codice, sono computati cumulativamente in capo al consorzio stabile ex art. 66</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g)</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w:t>
      </w:r>
      <w:r w:rsidR="00CD7ECF" w:rsidRPr="00AF38A8">
        <w:rPr>
          <w:rFonts w:asciiTheme="minorHAnsi" w:eastAsia="Times New Roman" w:hAnsiTheme="minorHAnsi" w:cstheme="minorHAnsi"/>
          <w:sz w:val="24"/>
          <w:szCs w:val="24"/>
        </w:rPr>
        <w:t>ancorché</w:t>
      </w:r>
      <w:r w:rsidRPr="00AF38A8">
        <w:rPr>
          <w:rFonts w:asciiTheme="minorHAnsi" w:eastAsia="Times New Roman" w:hAnsiTheme="minorHAnsi" w:cstheme="minorHAnsi"/>
          <w:sz w:val="24"/>
          <w:szCs w:val="24"/>
        </w:rPr>
        <w:t xml:space="preserve"> posseduti dalle singole imprese consorziate</w:t>
      </w:r>
    </w:p>
    <w:p w14:paraId="4D7CC321"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un consorzio abbia estromesso o sostituito una consorziata poiché priva di un requisito di ordine speciale di cui all’articolo 100 del Codice , si valutano le misure adottate ai sensi dell’articolo 97 del Codice al fine di decidere sull’esclusione.</w:t>
      </w:r>
    </w:p>
    <w:p w14:paraId="4656A586"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518EC09"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92" w:name="_Toc139277034"/>
      <w:bookmarkStart w:id="93" w:name="_Toc140929829"/>
      <w:bookmarkStart w:id="94" w:name="_Toc141027271"/>
      <w:r w:rsidRPr="00AF38A8">
        <w:rPr>
          <w:rFonts w:asciiTheme="minorHAnsi" w:eastAsia="Times New Roman" w:hAnsiTheme="minorHAnsi" w:cstheme="minorHAnsi"/>
          <w:sz w:val="24"/>
          <w:szCs w:val="24"/>
        </w:rPr>
        <w:t>Avvalimento</w:t>
      </w:r>
      <w:bookmarkEnd w:id="92"/>
      <w:bookmarkEnd w:id="93"/>
      <w:bookmarkEnd w:id="94"/>
    </w:p>
    <w:p w14:paraId="2823CD65"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95" w:name="_Hlk139559117"/>
      <w:r w:rsidRPr="00AF38A8">
        <w:rPr>
          <w:rFonts w:asciiTheme="minorHAnsi" w:eastAsia="Times New Roman" w:hAnsiTheme="minorHAnsi" w:cstheme="minorHAnsi"/>
          <w:sz w:val="24"/>
          <w:szCs w:val="24"/>
        </w:rPr>
        <w:t>Il concorrente può avvalersi di dotazioni tecniche, risorse umane e strumentali messe a disposizione da uno o più operatori economici ausiliari per dimostrare il possesso dei requisiti di ordine speciale e/o per migliorare la propria offerta.</w:t>
      </w:r>
    </w:p>
    <w:p w14:paraId="008B510B"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contratto di avvalimento le parti specificano le risorse strumentali e umane che l’ausiliario mette a disposizione del concorrente e indicano se l’avvalimento è finalizzato ad acquisire un requisito di partecipazione o a migliorare l’offerta del concorrente, o se serve ad entrambe le finalità.</w:t>
      </w:r>
    </w:p>
    <w:p w14:paraId="7BB0D30E"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Nei casi in cui l’avvalimento sia finalizzato a migliorare l’offerta, non è consentito che alla stessa gara partecipino sia l’ausiliario che l’operatore che si avvale delle risorse da questo a messe a disposizione, pena l’esclusione di entrambi i soggetti.</w:t>
      </w:r>
    </w:p>
    <w:p w14:paraId="499DCBE7"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sensi dell’articolo 372, comma 4 del codice della crisi di impresa e dell’insolvenza, per la partecipazione alla presente procedura tra il momento del deposito della domanda di cui all’articolo 40 del succitato codice e il momento del deposito del decreto previsto dall'articolo 47 del codice medesimo è sempre necessario l'avvalimento dei requisiti di un altro soggetto. L’avvalimento non è necessario in caso di ammissione al concordato preventivo.</w:t>
      </w:r>
    </w:p>
    <w:p w14:paraId="45A4400C"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concorrente e l’ausiliario sono responsabili in solido nei confronti della stazione appaltante in relazione alle prestazioni oggetto del contratto.</w:t>
      </w:r>
    </w:p>
    <w:p w14:paraId="4939F21D" w14:textId="371014B9" w:rsidR="0076366E" w:rsidRPr="00A3780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Non è consentito l’avvalimento per soddisfare i requisiti di ordine generale, dell’iscrizione alla Camera di commercio </w:t>
      </w:r>
      <w:r w:rsidRPr="00A37808">
        <w:rPr>
          <w:rFonts w:asciiTheme="minorHAnsi" w:eastAsia="Times New Roman" w:hAnsiTheme="minorHAnsi" w:cstheme="minorHAnsi"/>
          <w:sz w:val="24"/>
          <w:szCs w:val="24"/>
        </w:rPr>
        <w:t xml:space="preserve">e dell’iscrizione nell’Elenco speciale dei professionisti ex art. 34 del </w:t>
      </w:r>
      <w:r w:rsidR="009E3F27" w:rsidRPr="00BA3D28">
        <w:rPr>
          <w:rFonts w:asciiTheme="minorHAnsi" w:eastAsia="Times New Roman" w:hAnsiTheme="minorHAnsi" w:cstheme="minorHAnsi"/>
          <w:b/>
          <w:i/>
          <w:sz w:val="24"/>
          <w:szCs w:val="24"/>
        </w:rPr>
        <w:t>D.L</w:t>
      </w:r>
      <w:r w:rsidR="00A37808">
        <w:rPr>
          <w:rFonts w:asciiTheme="minorHAnsi" w:eastAsia="Times New Roman" w:hAnsiTheme="minorHAnsi" w:cstheme="minorHAnsi"/>
          <w:sz w:val="24"/>
          <w:szCs w:val="24"/>
        </w:rPr>
        <w:t>.</w:t>
      </w:r>
      <w:r w:rsidRPr="00A37808">
        <w:rPr>
          <w:rFonts w:asciiTheme="minorHAnsi" w:eastAsia="Times New Roman" w:hAnsiTheme="minorHAnsi" w:cstheme="minorHAnsi"/>
          <w:sz w:val="24"/>
          <w:szCs w:val="24"/>
        </w:rPr>
        <w:t xml:space="preserve"> 189/2016. </w:t>
      </w:r>
    </w:p>
    <w:p w14:paraId="3C67AF7F" w14:textId="77777777" w:rsidR="009E3F27" w:rsidRPr="00BA3D28" w:rsidRDefault="009E3F2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Se richiesti requisiti relativi ad autorizzazioni o altri titoli abilitativi di cui all’art 100 comma 3</w:t>
      </w:r>
      <w:r w:rsidRPr="00BA3D28">
        <w:rPr>
          <w:rFonts w:asciiTheme="minorHAnsi" w:eastAsia="Times New Roman" w:hAnsiTheme="minorHAnsi" w:cstheme="minorHAnsi"/>
          <w:sz w:val="24"/>
          <w:szCs w:val="24"/>
        </w:rPr>
        <w:t>] Il concorrente può avvalersi di un ausiliario per comprovare il possesso del requisito di cui al punto …. solo se l’ausiliario esegue direttamente la prestazione per cui tale requisito è richiesto. In tal caso, l’ausiliario agisce in qualità di subappaltatore.</w:t>
      </w:r>
    </w:p>
    <w:p w14:paraId="70C48109" w14:textId="77777777" w:rsidR="009E3F27" w:rsidRPr="00BA3D28" w:rsidRDefault="009E3F2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Se richiesti requisiti relativi a titoli di studio e professionali necessari all’esecuzione dell’appalto</w:t>
      </w:r>
      <w:r w:rsidRPr="00BA3D28">
        <w:rPr>
          <w:rFonts w:asciiTheme="minorHAnsi" w:eastAsia="Times New Roman" w:hAnsiTheme="minorHAnsi" w:cstheme="minorHAnsi"/>
          <w:sz w:val="24"/>
          <w:szCs w:val="24"/>
        </w:rPr>
        <w:t>] Il concorrente può avvalersi di un ausiliario per comprovare il possesso del requisito di cui al punto …. solo se l’ausiliario esegue direttamente la prestazione per cui tale requisito è richiesto. In tal caso, l’ausiliario agisce in qualità di subappaltare.</w:t>
      </w:r>
    </w:p>
    <w:p w14:paraId="3D9737AC" w14:textId="77777777" w:rsidR="009E3F27" w:rsidRPr="00BA3D28" w:rsidRDefault="009E3F2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lastRenderedPageBreak/>
        <w:t>[</w:t>
      </w:r>
      <w:r w:rsidRPr="00BA3D28">
        <w:rPr>
          <w:rFonts w:asciiTheme="minorHAnsi" w:eastAsia="Times New Roman" w:hAnsiTheme="minorHAnsi" w:cstheme="minorHAnsi"/>
          <w:b/>
          <w:i/>
          <w:sz w:val="24"/>
          <w:szCs w:val="24"/>
        </w:rPr>
        <w:t>Facoltativo per il caso dei compiti essenziali</w:t>
      </w:r>
      <w:r w:rsidRPr="00BA3D28">
        <w:rPr>
          <w:rFonts w:asciiTheme="minorHAnsi" w:eastAsia="Times New Roman" w:hAnsiTheme="minorHAnsi" w:cstheme="minorHAnsi"/>
          <w:sz w:val="24"/>
          <w:szCs w:val="24"/>
        </w:rPr>
        <w:t>] Ai sensi dell’articolo 104, comma 11 del Codice, i seguenti compiti essenziali: … [descrivere i compiti] sono direttamente svolti dall’offerente o, nel caso di offerta presentata da un raggruppamento da un partecipante al raggruppamento.</w:t>
      </w:r>
    </w:p>
    <w:p w14:paraId="6D3F8FA2" w14:textId="77777777" w:rsidR="009E3F27" w:rsidRPr="00BA3D28" w:rsidRDefault="009E3F2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Eventuale, nel caso di richiesta di un servizio di punta</w:t>
      </w:r>
      <w:r w:rsidRPr="00BA3D28">
        <w:rPr>
          <w:rFonts w:asciiTheme="minorHAnsi" w:eastAsia="Times New Roman" w:hAnsiTheme="minorHAnsi" w:cstheme="minorHAnsi"/>
          <w:sz w:val="24"/>
          <w:szCs w:val="24"/>
        </w:rPr>
        <w:t>] L’operatore economico non può avvalersi di più operatori ausiliari per dimostrare il requisito del servizio di punta.</w:t>
      </w:r>
    </w:p>
    <w:p w14:paraId="3A762500" w14:textId="77777777" w:rsidR="009E3F27" w:rsidRPr="00BA3D28" w:rsidRDefault="009E3F2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L’ausiliario deve:</w:t>
      </w:r>
    </w:p>
    <w:p w14:paraId="10B1FC56" w14:textId="77777777" w:rsidR="009E3F27" w:rsidRPr="00BA3D28" w:rsidRDefault="009E3F27" w:rsidP="00BD1359">
      <w:pPr>
        <w:numPr>
          <w:ilvl w:val="0"/>
          <w:numId w:val="4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possedere i requisiti previsti dall’articolo  e quelli di cui all’articolo 6 oggetto di avvalimento e dichiararli presentando un proprio DGUE, da compilare nelle parti pertinenti;</w:t>
      </w:r>
    </w:p>
    <w:p w14:paraId="172A18AE" w14:textId="77777777" w:rsidR="009E3F27" w:rsidRPr="00BA3D28" w:rsidRDefault="009E3F27" w:rsidP="00BD1359">
      <w:pPr>
        <w:numPr>
          <w:ilvl w:val="0"/>
          <w:numId w:val="4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 xml:space="preserve">impegnarsi, verso il concorrente che si avvale e verso la stazione appaltante, a mettere a disposizione, per tutta la durata dell’appalto, le risorse </w:t>
      </w:r>
      <w:r w:rsidRPr="009E3F27">
        <w:rPr>
          <w:rFonts w:asciiTheme="minorHAnsi" w:eastAsia="Times New Roman" w:hAnsiTheme="minorHAnsi" w:cstheme="minorHAnsi"/>
          <w:sz w:val="24"/>
          <w:szCs w:val="24"/>
        </w:rPr>
        <w:t xml:space="preserve">(riferite a requisiti di partecipazione e/o premiali) </w:t>
      </w:r>
      <w:r w:rsidRPr="00BA3D28">
        <w:rPr>
          <w:rFonts w:asciiTheme="minorHAnsi" w:eastAsia="Times New Roman" w:hAnsiTheme="minorHAnsi" w:cstheme="minorHAnsi"/>
          <w:sz w:val="24"/>
          <w:szCs w:val="24"/>
        </w:rPr>
        <w:t>oggetto di avvalimento</w:t>
      </w:r>
      <w:r>
        <w:rPr>
          <w:rFonts w:asciiTheme="minorHAnsi" w:eastAsia="Times New Roman" w:hAnsiTheme="minorHAnsi" w:cstheme="minorHAnsi"/>
          <w:sz w:val="24"/>
          <w:szCs w:val="24"/>
        </w:rPr>
        <w:t>.</w:t>
      </w:r>
    </w:p>
    <w:p w14:paraId="45018FD8" w14:textId="77777777" w:rsidR="009E3F27" w:rsidRPr="00BA3D28" w:rsidRDefault="009E3F2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Il concorrente allega alla domanda di partecipazione il contratto di avvalimento, che deve essere nativo digitale e firmato digitalmente dalle parti, nonché le dichiarazioni dell’ausiliario.</w:t>
      </w:r>
    </w:p>
    <w:p w14:paraId="67F839FE" w14:textId="77777777" w:rsidR="009E3F27" w:rsidRPr="00BA3D28" w:rsidRDefault="009E3F2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È sanabile, mediante soccorso istruttorio, la mancata produzione delle dichiarazioni dell’ausiliario.</w:t>
      </w:r>
    </w:p>
    <w:p w14:paraId="38D5AE06" w14:textId="77777777" w:rsidR="009E3F27" w:rsidRPr="00BA3D28" w:rsidRDefault="009E3F2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È sanabile, mediante soccorso istruttorio, la mancata produzione del contratto di avvalimento a condizione che il contratto sia stato stipulato prima del termine di presentazione dell’offerta e che tale circostanza sia comprovabile con data certa.</w:t>
      </w:r>
    </w:p>
    <w:p w14:paraId="7881F378" w14:textId="77777777" w:rsidR="009E3F27" w:rsidRPr="00BA3D28" w:rsidRDefault="009E3F2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Non è sanabile - e quindi è causa di esclusione dalla gara - la mancata indicazione delle risorse messe a disposizione dall’ausiliario in quanto causa di nullità del contratto di avvalimento.</w:t>
      </w:r>
    </w:p>
    <w:p w14:paraId="2C6633E3" w14:textId="77777777" w:rsidR="009E3F27" w:rsidRPr="00BA3D28" w:rsidRDefault="009E3F2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Qualora per l’ausiliario sussistano motivi di esclusione o laddove esso non soddisfi i requisiti di ordine speciale, il concorrente sostituisce l’ausiliario entro … [indicare il numero dei giorni previsti] giorni decorrenti dal ricevimento della richiesta da parte della stazione appaltante. Contestualmente il concorrente produce i documenti richiesti per l’avvalimento.</w:t>
      </w:r>
    </w:p>
    <w:p w14:paraId="67E15784" w14:textId="77777777" w:rsidR="009E3F27" w:rsidRDefault="009E3F2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 xml:space="preserve">Nel caso in cui l’ausiliario si sia reso responsabile di una falsa dichiarazione sul possesso dei requisiti, la stazione appaltante procede a segnalare all’Autorità </w:t>
      </w:r>
      <w:r w:rsidRPr="00CD7ECF">
        <w:rPr>
          <w:rFonts w:asciiTheme="minorHAnsi" w:eastAsia="Times New Roman" w:hAnsiTheme="minorHAnsi" w:cstheme="minorHAnsi"/>
          <w:sz w:val="24"/>
          <w:szCs w:val="24"/>
        </w:rPr>
        <w:t xml:space="preserve">nazionale anticorruzione </w:t>
      </w:r>
      <w:r w:rsidRPr="00BA3D28">
        <w:rPr>
          <w:rFonts w:asciiTheme="minorHAnsi" w:eastAsia="Times New Roman" w:hAnsiTheme="minorHAnsi" w:cstheme="minorHAnsi"/>
          <w:sz w:val="24"/>
          <w:szCs w:val="24"/>
        </w:rPr>
        <w:t>il comportamento tenuto dall’ausiliario per consentire le valutazioni di cui all’articolo 96, comma 15</w:t>
      </w:r>
      <w:r w:rsidRPr="00CD7ECF">
        <w:rPr>
          <w:rFonts w:asciiTheme="minorHAnsi" w:eastAsia="Times New Roman" w:hAnsiTheme="minorHAnsi" w:cstheme="minorHAnsi"/>
          <w:sz w:val="24"/>
          <w:szCs w:val="24"/>
        </w:rPr>
        <w:t>, del Codice</w:t>
      </w:r>
      <w:r w:rsidRPr="00BA3D28">
        <w:rPr>
          <w:rFonts w:asciiTheme="minorHAnsi" w:eastAsia="Times New Roman" w:hAnsiTheme="minorHAnsi" w:cstheme="minorHAnsi"/>
          <w:sz w:val="24"/>
          <w:szCs w:val="24"/>
        </w:rPr>
        <w:t>. L’operatore economico può indicare un altro ausiliario nel termine di dieci giorni, pena l’esclusione dalla gara. La sostituzione può essere effettuata soltanto nel caso in cui non conduca a una modifica sostanziale dell’offerta. Il mancato rispetto del termine assegnato per la sostituzione comporta l’esclusione del concorrente.</w:t>
      </w:r>
    </w:p>
    <w:p w14:paraId="0A7501D3" w14:textId="6176413F" w:rsidR="00A3780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96" w:name="_Hlk141024333"/>
      <w:r w:rsidRPr="00AF38A8">
        <w:rPr>
          <w:rFonts w:asciiTheme="minorHAnsi" w:eastAsia="Times New Roman" w:hAnsiTheme="minorHAnsi" w:cstheme="minorHAnsi"/>
          <w:sz w:val="24"/>
          <w:szCs w:val="24"/>
        </w:rPr>
        <w:t xml:space="preserve">Ai sensi </w:t>
      </w:r>
      <w:r w:rsidR="002A53A6" w:rsidRPr="00AF38A8">
        <w:rPr>
          <w:rFonts w:asciiTheme="minorHAnsi" w:eastAsia="Times New Roman" w:hAnsiTheme="minorHAnsi" w:cstheme="minorHAnsi"/>
          <w:sz w:val="24"/>
          <w:szCs w:val="24"/>
        </w:rPr>
        <w:t>dell’art.</w:t>
      </w:r>
      <w:r w:rsidRPr="00AF38A8">
        <w:rPr>
          <w:rFonts w:asciiTheme="minorHAnsi" w:eastAsia="Times New Roman" w:hAnsiTheme="minorHAnsi" w:cstheme="minorHAnsi"/>
          <w:sz w:val="24"/>
          <w:szCs w:val="24"/>
        </w:rPr>
        <w:t xml:space="preserve"> 104, comma </w:t>
      </w:r>
      <w:r w:rsidR="002A53A6" w:rsidRPr="00AF38A8">
        <w:rPr>
          <w:rFonts w:asciiTheme="minorHAnsi" w:eastAsia="Times New Roman" w:hAnsiTheme="minorHAnsi" w:cstheme="minorHAnsi"/>
          <w:sz w:val="24"/>
          <w:szCs w:val="24"/>
        </w:rPr>
        <w:t xml:space="preserve">12, </w:t>
      </w:r>
      <w:r w:rsidR="003336A4">
        <w:rPr>
          <w:rFonts w:asciiTheme="minorHAnsi" w:eastAsia="Times New Roman" w:hAnsiTheme="minorHAnsi" w:cstheme="minorHAnsi"/>
          <w:sz w:val="24"/>
          <w:szCs w:val="24"/>
        </w:rPr>
        <w:t>del Codice</w:t>
      </w:r>
      <w:r w:rsidR="002A53A6" w:rsidRPr="00AF38A8">
        <w:rPr>
          <w:rFonts w:asciiTheme="minorHAnsi" w:eastAsia="Times New Roman" w:hAnsiTheme="minorHAnsi" w:cstheme="minorHAnsi"/>
          <w:sz w:val="24"/>
          <w:szCs w:val="24"/>
        </w:rPr>
        <w:t>, nei soli casi in cui l’avvalimento sia finalizzato a migliorare l’offerta,</w:t>
      </w:r>
      <w:r w:rsidRPr="00AF38A8">
        <w:rPr>
          <w:rFonts w:asciiTheme="minorHAnsi" w:eastAsia="Times New Roman" w:hAnsiTheme="minorHAnsi" w:cstheme="minorHAnsi"/>
          <w:sz w:val="24"/>
          <w:szCs w:val="24"/>
        </w:rPr>
        <w:t xml:space="preserve"> non </w:t>
      </w:r>
      <w:r w:rsidR="002A53A6" w:rsidRPr="00AF38A8">
        <w:rPr>
          <w:rFonts w:asciiTheme="minorHAnsi" w:eastAsia="Times New Roman" w:hAnsiTheme="minorHAnsi" w:cstheme="minorHAnsi"/>
          <w:sz w:val="24"/>
          <w:szCs w:val="24"/>
        </w:rPr>
        <w:t>è consentito che partecipino alla medesima gara l’impresa ausiliaria e quella</w:t>
      </w:r>
      <w:r w:rsidRPr="00AF38A8">
        <w:rPr>
          <w:rFonts w:asciiTheme="minorHAnsi" w:eastAsia="Times New Roman" w:hAnsiTheme="minorHAnsi" w:cstheme="minorHAnsi"/>
          <w:sz w:val="24"/>
          <w:szCs w:val="24"/>
        </w:rPr>
        <w:t xml:space="preserve"> che si avvale </w:t>
      </w:r>
      <w:r w:rsidR="002A53A6" w:rsidRPr="00AF38A8">
        <w:rPr>
          <w:rFonts w:asciiTheme="minorHAnsi" w:eastAsia="Times New Roman" w:hAnsiTheme="minorHAnsi" w:cstheme="minorHAnsi"/>
          <w:sz w:val="24"/>
          <w:szCs w:val="24"/>
        </w:rPr>
        <w:t>delle risorse da essa</w:t>
      </w:r>
      <w:r w:rsidRPr="00AF38A8">
        <w:rPr>
          <w:rFonts w:asciiTheme="minorHAnsi" w:eastAsia="Times New Roman" w:hAnsiTheme="minorHAnsi" w:cstheme="minorHAnsi"/>
          <w:sz w:val="24"/>
          <w:szCs w:val="24"/>
        </w:rPr>
        <w:t xml:space="preserve"> messe a disposizione</w:t>
      </w:r>
      <w:r w:rsidR="002A53A6" w:rsidRPr="00AF38A8">
        <w:rPr>
          <w:rFonts w:asciiTheme="minorHAnsi" w:eastAsia="Times New Roman" w:hAnsiTheme="minorHAnsi" w:cstheme="minorHAnsi"/>
          <w:sz w:val="24"/>
          <w:szCs w:val="24"/>
        </w:rPr>
        <w:t xml:space="preserve">. </w:t>
      </w:r>
    </w:p>
    <w:p w14:paraId="43064A47" w14:textId="1A74B5F4" w:rsidR="0076366E" w:rsidRPr="00AF38A8" w:rsidRDefault="00D237C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tutto</w:t>
      </w:r>
      <w:r w:rsidR="00BA3D28" w:rsidRPr="00AF38A8">
        <w:rPr>
          <w:rFonts w:asciiTheme="minorHAnsi" w:eastAsia="Times New Roman" w:hAnsiTheme="minorHAnsi" w:cstheme="minorHAnsi"/>
          <w:sz w:val="24"/>
          <w:szCs w:val="24"/>
        </w:rPr>
        <w:t xml:space="preserve"> quanto non </w:t>
      </w:r>
      <w:r w:rsidRPr="00AF38A8">
        <w:rPr>
          <w:rFonts w:asciiTheme="minorHAnsi" w:eastAsia="Times New Roman" w:hAnsiTheme="minorHAnsi" w:cstheme="minorHAnsi"/>
          <w:sz w:val="24"/>
          <w:szCs w:val="24"/>
        </w:rPr>
        <w:t>espressamente previsto</w:t>
      </w:r>
      <w:r w:rsidR="00BA3D28" w:rsidRPr="00AF38A8">
        <w:rPr>
          <w:rFonts w:asciiTheme="minorHAnsi" w:eastAsia="Times New Roman" w:hAnsiTheme="minorHAnsi" w:cstheme="minorHAnsi"/>
          <w:sz w:val="24"/>
          <w:szCs w:val="24"/>
        </w:rPr>
        <w:t xml:space="preserve"> dal </w:t>
      </w:r>
      <w:r w:rsidRPr="00AF38A8">
        <w:rPr>
          <w:rFonts w:asciiTheme="minorHAnsi" w:eastAsia="Times New Roman" w:hAnsiTheme="minorHAnsi" w:cstheme="minorHAnsi"/>
          <w:sz w:val="24"/>
          <w:szCs w:val="24"/>
        </w:rPr>
        <w:t>presente articolo</w:t>
      </w:r>
      <w:r w:rsidR="00BA3D28" w:rsidRPr="00AF38A8">
        <w:rPr>
          <w:rFonts w:asciiTheme="minorHAnsi" w:eastAsia="Times New Roman" w:hAnsiTheme="minorHAnsi" w:cstheme="minorHAnsi"/>
          <w:sz w:val="24"/>
          <w:szCs w:val="24"/>
        </w:rPr>
        <w:t xml:space="preserve"> si </w:t>
      </w:r>
      <w:r w:rsidRPr="00AF38A8">
        <w:rPr>
          <w:rFonts w:asciiTheme="minorHAnsi" w:eastAsia="Times New Roman" w:hAnsiTheme="minorHAnsi" w:cstheme="minorHAnsi"/>
          <w:sz w:val="24"/>
          <w:szCs w:val="24"/>
        </w:rPr>
        <w:t>rinvia alle disposizioni di cui all’art. 104 del Codice</w:t>
      </w:r>
      <w:r w:rsidR="00BA3D28" w:rsidRPr="00AF38A8">
        <w:rPr>
          <w:rFonts w:asciiTheme="minorHAnsi" w:eastAsia="Times New Roman" w:hAnsiTheme="minorHAnsi" w:cstheme="minorHAnsi"/>
          <w:sz w:val="24"/>
          <w:szCs w:val="24"/>
        </w:rPr>
        <w:t>.</w:t>
      </w:r>
      <w:bookmarkStart w:id="97" w:name="_Toc139277035"/>
      <w:bookmarkEnd w:id="95"/>
    </w:p>
    <w:bookmarkEnd w:id="96"/>
    <w:p w14:paraId="635C5511"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8384DC2"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98" w:name="_Toc140929830"/>
      <w:bookmarkStart w:id="99" w:name="_Toc141027272"/>
      <w:r w:rsidRPr="00AF38A8">
        <w:rPr>
          <w:rFonts w:asciiTheme="minorHAnsi" w:eastAsia="Times New Roman" w:hAnsiTheme="minorHAnsi" w:cstheme="minorHAnsi"/>
          <w:sz w:val="24"/>
          <w:szCs w:val="24"/>
        </w:rPr>
        <w:t>Subappalto</w:t>
      </w:r>
      <w:bookmarkEnd w:id="97"/>
      <w:bookmarkEnd w:id="98"/>
      <w:bookmarkEnd w:id="99"/>
    </w:p>
    <w:p w14:paraId="1C2EBF8D" w14:textId="77777777" w:rsidR="00E64C3F" w:rsidRPr="00BA3D28" w:rsidRDefault="00E64C3F"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Il concorrente indica le prestazioni che intende subappaltare o concedere in cottimo. In caso di mancata indicazione il subappalto è vietato.</w:t>
      </w:r>
    </w:p>
    <w:p w14:paraId="48773467" w14:textId="77777777" w:rsidR="00E64C3F" w:rsidRPr="00BA3D28" w:rsidRDefault="00E64C3F"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 xml:space="preserve">Non può essere affidata in subappalto l’integrale esecuzione delle prestazioni oggetto del contratto. </w:t>
      </w:r>
    </w:p>
    <w:p w14:paraId="20222564" w14:textId="77777777" w:rsidR="00E64C3F" w:rsidRPr="00F95656" w:rsidRDefault="00E64C3F"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N</w:t>
      </w:r>
      <w:r w:rsidRPr="00F95656">
        <w:rPr>
          <w:rFonts w:asciiTheme="minorHAnsi" w:eastAsia="Times New Roman" w:hAnsiTheme="minorHAnsi" w:cstheme="minorHAnsi"/>
          <w:sz w:val="24"/>
          <w:szCs w:val="24"/>
        </w:rPr>
        <w:t>on si configurano come attività affidate in subappalto quelle di cui all’art. 119, comma 3 del Codice</w:t>
      </w:r>
      <w:r>
        <w:rPr>
          <w:rFonts w:asciiTheme="minorHAnsi" w:eastAsia="Times New Roman" w:hAnsiTheme="minorHAnsi" w:cstheme="minorHAnsi"/>
          <w:sz w:val="24"/>
          <w:szCs w:val="24"/>
        </w:rPr>
        <w:t>.</w:t>
      </w:r>
      <w:r w:rsidRPr="00F95656">
        <w:rPr>
          <w:rFonts w:asciiTheme="minorHAnsi" w:eastAsia="Times New Roman" w:hAnsiTheme="minorHAnsi" w:cstheme="minorHAnsi"/>
          <w:sz w:val="24"/>
          <w:szCs w:val="24"/>
        </w:rPr>
        <w:t xml:space="preserve">  </w:t>
      </w:r>
    </w:p>
    <w:p w14:paraId="59013C3A" w14:textId="77777777" w:rsidR="00E64C3F" w:rsidRPr="00BA3D28" w:rsidRDefault="00E64C3F"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F70612D" w14:textId="77777777" w:rsidR="00E64C3F" w:rsidRPr="00BA3D28" w:rsidRDefault="00E64C3F"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Facoltativo</w:t>
      </w:r>
      <w:r w:rsidRPr="00BA3D28">
        <w:rPr>
          <w:rFonts w:asciiTheme="minorHAnsi" w:eastAsia="Times New Roman" w:hAnsiTheme="minorHAnsi" w:cstheme="minorHAnsi"/>
          <w:sz w:val="24"/>
          <w:szCs w:val="24"/>
        </w:rPr>
        <w:t xml:space="preserve">, </w:t>
      </w:r>
      <w:r w:rsidRPr="00BA3D28">
        <w:rPr>
          <w:rFonts w:asciiTheme="minorHAnsi" w:eastAsia="Times New Roman" w:hAnsiTheme="minorHAnsi" w:cstheme="minorHAnsi"/>
          <w:i/>
          <w:sz w:val="24"/>
          <w:szCs w:val="24"/>
        </w:rPr>
        <w:t>nel caso in cui la stazione appaltante intenda riservare, previa motivazione della decisione a contrarre, una o più prestazioni all’affidatario in ragione delle caratteristiche delle prestazioni oggetto dell’appalto, dell’esigenza di garantire una più intensa tutela delle condizioni di lavoro e della salute e sicurezza sul lavoro ovvero di prevenire il rischio di infiltrazioni mafiose</w:t>
      </w:r>
      <w:r w:rsidRPr="00BA3D28">
        <w:rPr>
          <w:rFonts w:asciiTheme="minorHAnsi" w:eastAsia="Times New Roman" w:hAnsiTheme="minorHAnsi" w:cstheme="minorHAnsi"/>
          <w:sz w:val="24"/>
          <w:szCs w:val="24"/>
        </w:rPr>
        <w:t>] L’affidatario deve eseguire direttamente le seguenti prestazioni: … [</w:t>
      </w:r>
      <w:r w:rsidRPr="00BA3D28">
        <w:rPr>
          <w:rFonts w:asciiTheme="minorHAnsi" w:eastAsia="Times New Roman" w:hAnsiTheme="minorHAnsi" w:cstheme="minorHAnsi"/>
          <w:i/>
          <w:sz w:val="24"/>
          <w:szCs w:val="24"/>
        </w:rPr>
        <w:t>indicare quali</w:t>
      </w:r>
      <w:r w:rsidRPr="00BA3D28">
        <w:rPr>
          <w:rFonts w:asciiTheme="minorHAnsi" w:eastAsia="Times New Roman" w:hAnsiTheme="minorHAnsi" w:cstheme="minorHAnsi"/>
          <w:sz w:val="24"/>
          <w:szCs w:val="24"/>
        </w:rPr>
        <w:t>]. Ciò in ragione dell’esigenza di garantire… [</w:t>
      </w:r>
      <w:r w:rsidRPr="00BA3D28">
        <w:rPr>
          <w:rFonts w:asciiTheme="minorHAnsi" w:eastAsia="Times New Roman" w:hAnsiTheme="minorHAnsi" w:cstheme="minorHAnsi"/>
          <w:i/>
          <w:sz w:val="24"/>
          <w:szCs w:val="24"/>
        </w:rPr>
        <w:t>indicare le motivazioni</w:t>
      </w:r>
      <w:r w:rsidRPr="00BA3D28">
        <w:rPr>
          <w:rFonts w:asciiTheme="minorHAnsi" w:eastAsia="Times New Roman" w:hAnsiTheme="minorHAnsi" w:cstheme="minorHAnsi"/>
          <w:sz w:val="24"/>
          <w:szCs w:val="24"/>
        </w:rPr>
        <w:t>].</w:t>
      </w:r>
    </w:p>
    <w:p w14:paraId="354CC89A" w14:textId="77777777" w:rsidR="00E64C3F" w:rsidRPr="00BA3D28" w:rsidRDefault="00E64C3F"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DB879D6" w14:textId="77777777" w:rsidR="00E64C3F" w:rsidRPr="00BA3D28" w:rsidRDefault="00E64C3F"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Facoltativo</w:t>
      </w:r>
      <w:r w:rsidRPr="00BA3D28">
        <w:rPr>
          <w:rFonts w:asciiTheme="minorHAnsi" w:eastAsia="Times New Roman" w:hAnsiTheme="minorHAnsi" w:cstheme="minorHAnsi"/>
          <w:sz w:val="24"/>
          <w:szCs w:val="24"/>
        </w:rPr>
        <w:t xml:space="preserve">, </w:t>
      </w:r>
      <w:r w:rsidRPr="00BA3D28">
        <w:rPr>
          <w:rFonts w:asciiTheme="minorHAnsi" w:eastAsia="Times New Roman" w:hAnsiTheme="minorHAnsi" w:cstheme="minorHAnsi"/>
          <w:i/>
          <w:sz w:val="24"/>
          <w:szCs w:val="24"/>
        </w:rPr>
        <w:t>nel caso in cui la stazione appaltante intenda vietare il subappalto a cascata in determinate prestazioni, in ragione delle specifiche caratteristiche dell’appalto, dell’esigenza di rafforzare i controllo dei luoghi di lavoro, di garantire una più intensa tutela delle condizioni di lavoro e della salute e sicurezza sul lavoro ovvero di prevenire il rischio di infiltrazioni mafiose</w:t>
      </w:r>
      <w:r w:rsidRPr="00BA3D28">
        <w:rPr>
          <w:rFonts w:asciiTheme="minorHAnsi" w:eastAsia="Times New Roman" w:hAnsiTheme="minorHAnsi" w:cstheme="minorHAnsi"/>
          <w:sz w:val="24"/>
          <w:szCs w:val="24"/>
        </w:rPr>
        <w:t>] Le seguenti prestazioni possono essere subappaltate ma non possono, a loro volta, essere oggetto di ulteriore subappalto: … [</w:t>
      </w:r>
      <w:r w:rsidRPr="00BA3D28">
        <w:rPr>
          <w:rFonts w:asciiTheme="minorHAnsi" w:eastAsia="Times New Roman" w:hAnsiTheme="minorHAnsi" w:cstheme="minorHAnsi"/>
          <w:i/>
          <w:sz w:val="24"/>
          <w:szCs w:val="24"/>
        </w:rPr>
        <w:t>indicare le prestazioni</w:t>
      </w:r>
      <w:r w:rsidRPr="00BA3D28">
        <w:rPr>
          <w:rFonts w:asciiTheme="minorHAnsi" w:eastAsia="Times New Roman" w:hAnsiTheme="minorHAnsi" w:cstheme="minorHAnsi"/>
          <w:sz w:val="24"/>
          <w:szCs w:val="24"/>
        </w:rPr>
        <w:t>]. Ciò in ragione dell’esigenza di garantire … [</w:t>
      </w:r>
      <w:r w:rsidRPr="00BA3D28">
        <w:rPr>
          <w:rFonts w:asciiTheme="minorHAnsi" w:eastAsia="Times New Roman" w:hAnsiTheme="minorHAnsi" w:cstheme="minorHAnsi"/>
          <w:i/>
          <w:sz w:val="24"/>
          <w:szCs w:val="24"/>
        </w:rPr>
        <w:t>indicare le motivazioni</w:t>
      </w:r>
      <w:r w:rsidRPr="00BA3D28">
        <w:rPr>
          <w:rFonts w:asciiTheme="minorHAnsi" w:eastAsia="Times New Roman" w:hAnsiTheme="minorHAnsi" w:cstheme="minorHAnsi"/>
          <w:sz w:val="24"/>
          <w:szCs w:val="24"/>
        </w:rPr>
        <w:t>].</w:t>
      </w:r>
    </w:p>
    <w:p w14:paraId="0926E1EF" w14:textId="77777777" w:rsidR="00E64C3F" w:rsidRPr="00BA3D28" w:rsidRDefault="00E64C3F" w:rsidP="00BD1359">
      <w:pPr>
        <w:pBdr>
          <w:top w:val="single" w:sz="4" w:space="1" w:color="000000"/>
          <w:left w:val="single" w:sz="4" w:space="0" w:color="000000"/>
          <w:bottom w:val="single" w:sz="4" w:space="1" w:color="000000"/>
          <w:right w:val="single" w:sz="4" w:space="4" w:color="000000"/>
        </w:pBdr>
        <w:spacing w:before="60" w:after="60" w:line="276" w:lineRule="auto"/>
        <w:rPr>
          <w:rFonts w:asciiTheme="minorHAnsi" w:eastAsia="Titillium" w:hAnsiTheme="minorHAnsi" w:cstheme="minorHAnsi"/>
          <w:i/>
          <w:sz w:val="18"/>
          <w:szCs w:val="18"/>
        </w:rPr>
      </w:pPr>
      <w:r w:rsidRPr="00BA3D28">
        <w:rPr>
          <w:rFonts w:asciiTheme="minorHAnsi" w:eastAsia="Titillium" w:hAnsiTheme="minorHAnsi" w:cstheme="minorHAnsi"/>
          <w:i/>
          <w:sz w:val="18"/>
          <w:szCs w:val="18"/>
        </w:rPr>
        <w:t>La stazione appaltante prescinde dal valutare eventuali ragioni volte a prevenire il rischio di infiltrazione mafiosa nel caso in cui le imprese subappaltatrici o i subappaltatori ulteriori siano iscritti nelle white list o nell’anagrafe antimafia.</w:t>
      </w:r>
    </w:p>
    <w:p w14:paraId="33B64379" w14:textId="77777777" w:rsidR="00E64C3F" w:rsidRPr="00BA3D28" w:rsidRDefault="00E64C3F"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L’aggiudicatario e il subappaltatore sono responsabili in solido nei confronti della stazione appaltante dell’esecuzione delle prestazioni oggetto del contratto di subappalto.</w:t>
      </w:r>
    </w:p>
    <w:p w14:paraId="724754E4" w14:textId="77777777" w:rsidR="00E64C3F" w:rsidRPr="00BA3D28" w:rsidRDefault="00E64C3F"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BA3D28">
        <w:rPr>
          <w:rFonts w:asciiTheme="minorHAnsi" w:eastAsia="Times New Roman" w:hAnsiTheme="minorHAnsi" w:cstheme="minorHAnsi"/>
          <w:b/>
          <w:sz w:val="24"/>
          <w:szCs w:val="24"/>
        </w:rPr>
        <w:t xml:space="preserve">Il subappaltatore deve essere qualificato per i servizi che intende assumere ed essere iscritto oppure aver presentato domanda di iscrizione all’elenco speciale dei professionisti di cui all’art. 34 del </w:t>
      </w:r>
      <w:r>
        <w:rPr>
          <w:rFonts w:asciiTheme="minorHAnsi" w:eastAsia="Times New Roman" w:hAnsiTheme="minorHAnsi" w:cstheme="minorHAnsi"/>
          <w:b/>
          <w:sz w:val="24"/>
          <w:szCs w:val="24"/>
        </w:rPr>
        <w:t>decreto legge</w:t>
      </w:r>
      <w:r w:rsidRPr="00BA3D28">
        <w:rPr>
          <w:rFonts w:asciiTheme="minorHAnsi" w:eastAsia="Times New Roman" w:hAnsiTheme="minorHAnsi" w:cstheme="minorHAnsi"/>
          <w:b/>
          <w:sz w:val="24"/>
          <w:szCs w:val="24"/>
        </w:rPr>
        <w:t xml:space="preserve"> n.189/2016.</w:t>
      </w:r>
      <w:r w:rsidRPr="00EB499B">
        <w:rPr>
          <w:rFonts w:asciiTheme="minorHAnsi" w:eastAsia="Times New Roman" w:hAnsiTheme="minorHAnsi" w:cs="Times New Roman"/>
          <w:sz w:val="24"/>
          <w:szCs w:val="24"/>
        </w:rPr>
        <w:t>Per tutto quanto non espressamente previsto dal presente articolo si rinvia alle disposizioni di cui all’art. 119 del Codice.</w:t>
      </w:r>
    </w:p>
    <w:p w14:paraId="75C6B740" w14:textId="77777777" w:rsidR="00A37808" w:rsidRPr="00AF38A8" w:rsidRDefault="00A3780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12EC4AF"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00" w:name="_Toc139277036"/>
      <w:bookmarkStart w:id="101" w:name="_Toc140929831"/>
      <w:bookmarkStart w:id="102" w:name="_Toc141027273"/>
      <w:r w:rsidRPr="00AF38A8">
        <w:rPr>
          <w:rFonts w:asciiTheme="minorHAnsi" w:eastAsia="Times New Roman" w:hAnsiTheme="minorHAnsi" w:cstheme="minorHAnsi"/>
          <w:sz w:val="24"/>
          <w:szCs w:val="24"/>
        </w:rPr>
        <w:t>Requisiti di partecipazione e/o condizioni di esecuzione</w:t>
      </w:r>
      <w:bookmarkEnd w:id="100"/>
      <w:bookmarkEnd w:id="101"/>
      <w:bookmarkEnd w:id="102"/>
    </w:p>
    <w:p w14:paraId="2A3C6B01" w14:textId="4FCE2970" w:rsidR="0076366E" w:rsidRPr="009751EC" w:rsidRDefault="00BA3D28"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bookmarkStart w:id="103" w:name="_Hlk140847177"/>
      <w:r w:rsidRPr="009751EC">
        <w:rPr>
          <w:rFonts w:ascii="Titillium" w:hAnsi="Titillium"/>
          <w:i/>
          <w:sz w:val="18"/>
          <w:szCs w:val="18"/>
        </w:rPr>
        <w:t>N.B. l’</w:t>
      </w:r>
      <w:r w:rsidR="00A37808" w:rsidRPr="009751EC">
        <w:rPr>
          <w:rFonts w:ascii="Titillium" w:hAnsi="Titillium"/>
          <w:i/>
          <w:sz w:val="18"/>
          <w:szCs w:val="18"/>
        </w:rPr>
        <w:t>O</w:t>
      </w:r>
      <w:r w:rsidRPr="009751EC">
        <w:rPr>
          <w:rFonts w:ascii="Titillium" w:hAnsi="Titillium"/>
          <w:i/>
          <w:sz w:val="18"/>
          <w:szCs w:val="18"/>
        </w:rPr>
        <w:t xml:space="preserve">rdinanza </w:t>
      </w:r>
      <w:r w:rsidR="00A37808" w:rsidRPr="009751EC">
        <w:rPr>
          <w:rFonts w:ascii="Titillium" w:hAnsi="Titillium"/>
          <w:i/>
          <w:sz w:val="18"/>
          <w:szCs w:val="18"/>
        </w:rPr>
        <w:t xml:space="preserve">commissariale </w:t>
      </w:r>
      <w:r w:rsidRPr="009751EC">
        <w:rPr>
          <w:rFonts w:ascii="Titillium" w:hAnsi="Titillium"/>
          <w:i/>
          <w:sz w:val="18"/>
          <w:szCs w:val="18"/>
        </w:rPr>
        <w:t>n. 140 del 30 maggio 2023 “Ulteriori misure per la semplificazione e l’accelerazione della ricostruzione”, dispone per le finalità di accelerazione e semplificazione degli interventi, o per ragioni di estraneità di materia: “non si applicano alla ricostruzione pubblica le seguenti disposizioni del decreto-legge 31 maggio 2021, n. 77: - art. 47, fatta salva l’applicabilità facoltativa del quarto comma da parte delle stazioni appaltanti: “pari opportunità e inclusione lavorativa nei contratti pubblici nel PNRR e nel PNC”; 6 - art. 47-bis: “composizione degli organismi pubblici istituiti dal presente decreto”; - art. 53: “semplificazione degli acquisti di beni e servizi informatici strumentali alla realizzazione del PNRR e in materia di procedure di e-procurement e acquisto di beni e servizi informatici”; - art. 55: “misure di semplificazione in materia di istruzione”; - art. 55-bis: “regime transitorio di accesso alla professione di perito industriale”; - art. 56: “disposizioni in materia di semplificazione per l'attuazione dei programmi del Ministero della salute ricompresi nel Piano nazionale di ripresa e resilienza”; - art. 56-bis: “iniziative di elevata utilità sociale nel campo dell'edilizia sanitaria valutabili dall'INAIL”; - art. 56-ter: “misure di semplificazione in materia di agricoltura e pesca”; - art. 56-quater: “modifiche al codice della proprietà industriale, di cui al decreto legislativo 10 febbraio 2005, n. 30”</w:t>
      </w:r>
      <w:r w:rsidR="00E538CA" w:rsidRPr="009751EC">
        <w:rPr>
          <w:rFonts w:ascii="Titillium" w:hAnsi="Titillium"/>
          <w:i/>
          <w:sz w:val="18"/>
          <w:szCs w:val="18"/>
        </w:rPr>
        <w:t>.</w:t>
      </w:r>
    </w:p>
    <w:bookmarkEnd w:id="103"/>
    <w:p w14:paraId="4484830D" w14:textId="33188056" w:rsidR="00803ECA" w:rsidRPr="00AF38A8" w:rsidRDefault="00A3780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w:t>
      </w:r>
      <w:r w:rsidR="000A6587" w:rsidRPr="00AF38A8">
        <w:rPr>
          <w:rFonts w:asciiTheme="minorHAnsi" w:eastAsia="Times New Roman" w:hAnsiTheme="minorHAnsi" w:cstheme="minorHAnsi"/>
          <w:b/>
          <w:sz w:val="24"/>
          <w:szCs w:val="24"/>
        </w:rPr>
        <w:t xml:space="preserve">facoltativo] </w:t>
      </w:r>
    </w:p>
    <w:p w14:paraId="10A914EB" w14:textId="731A5948" w:rsidR="0076366E" w:rsidRPr="00AF38A8" w:rsidRDefault="00704B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Al fine di garantire</w:t>
      </w:r>
      <w:r w:rsidR="00BA3D28" w:rsidRPr="00AF38A8">
        <w:rPr>
          <w:rFonts w:asciiTheme="minorHAnsi" w:eastAsia="Times New Roman" w:hAnsiTheme="minorHAnsi" w:cstheme="minorHAnsi"/>
          <w:sz w:val="24"/>
          <w:szCs w:val="24"/>
        </w:rPr>
        <w:t xml:space="preserve"> le </w:t>
      </w:r>
      <w:r w:rsidRPr="00AF38A8">
        <w:rPr>
          <w:rFonts w:asciiTheme="minorHAnsi" w:eastAsia="Times New Roman" w:hAnsiTheme="minorHAnsi" w:cstheme="minorHAnsi"/>
          <w:sz w:val="24"/>
          <w:szCs w:val="24"/>
        </w:rPr>
        <w:t>pari opportunità generazionali,</w:t>
      </w:r>
      <w:r w:rsidR="00BA3D28" w:rsidRPr="00AF38A8">
        <w:rPr>
          <w:rFonts w:asciiTheme="minorHAnsi" w:eastAsia="Times New Roman" w:hAnsiTheme="minorHAnsi" w:cstheme="minorHAnsi"/>
          <w:sz w:val="24"/>
          <w:szCs w:val="24"/>
        </w:rPr>
        <w:t xml:space="preserve"> di </w:t>
      </w:r>
      <w:r w:rsidRPr="00AF38A8">
        <w:rPr>
          <w:rFonts w:asciiTheme="minorHAnsi" w:eastAsia="Times New Roman" w:hAnsiTheme="minorHAnsi" w:cstheme="minorHAnsi"/>
          <w:sz w:val="24"/>
          <w:szCs w:val="24"/>
        </w:rPr>
        <w:t>genere</w:t>
      </w:r>
      <w:r w:rsidR="00BA3D28" w:rsidRPr="00AF38A8">
        <w:rPr>
          <w:rFonts w:asciiTheme="minorHAnsi" w:eastAsia="Times New Roman" w:hAnsiTheme="minorHAnsi" w:cstheme="minorHAnsi"/>
          <w:sz w:val="24"/>
          <w:szCs w:val="24"/>
        </w:rPr>
        <w:t xml:space="preserve"> e di </w:t>
      </w:r>
      <w:r w:rsidRPr="00AF38A8">
        <w:rPr>
          <w:rFonts w:asciiTheme="minorHAnsi" w:eastAsia="Times New Roman" w:hAnsiTheme="minorHAnsi" w:cstheme="minorHAnsi"/>
          <w:sz w:val="24"/>
          <w:szCs w:val="24"/>
        </w:rPr>
        <w:t>inclusione lavorativa</w:t>
      </w:r>
      <w:r w:rsidR="00BA3D28" w:rsidRPr="00AF38A8">
        <w:rPr>
          <w:rFonts w:asciiTheme="minorHAnsi" w:eastAsia="Times New Roman" w:hAnsiTheme="minorHAnsi" w:cstheme="minorHAnsi"/>
          <w:sz w:val="24"/>
          <w:szCs w:val="24"/>
        </w:rPr>
        <w:t xml:space="preserve"> per </w:t>
      </w:r>
      <w:r w:rsidRPr="00AF38A8">
        <w:rPr>
          <w:rFonts w:asciiTheme="minorHAnsi" w:eastAsia="Times New Roman" w:hAnsiTheme="minorHAnsi" w:cstheme="minorHAnsi"/>
          <w:sz w:val="24"/>
          <w:szCs w:val="24"/>
        </w:rPr>
        <w:t>le person</w:t>
      </w:r>
      <w:r w:rsidR="00233B2F" w:rsidRPr="00AF38A8">
        <w:rPr>
          <w:rFonts w:asciiTheme="minorHAnsi" w:eastAsia="Times New Roman" w:hAnsiTheme="minorHAnsi" w:cstheme="minorHAnsi"/>
          <w:sz w:val="24"/>
          <w:szCs w:val="24"/>
        </w:rPr>
        <w:t>e</w:t>
      </w:r>
      <w:r w:rsidRPr="00AF38A8">
        <w:rPr>
          <w:rFonts w:asciiTheme="minorHAnsi" w:eastAsia="Times New Roman" w:hAnsiTheme="minorHAnsi" w:cstheme="minorHAnsi"/>
          <w:sz w:val="24"/>
          <w:szCs w:val="24"/>
        </w:rPr>
        <w:t xml:space="preserve"> con disabilità o svantaggiate, </w:t>
      </w:r>
      <w:r w:rsidR="0004141F" w:rsidRPr="00AF38A8">
        <w:rPr>
          <w:rFonts w:asciiTheme="minorHAnsi" w:eastAsia="Times New Roman" w:hAnsiTheme="minorHAnsi" w:cstheme="minorHAnsi"/>
          <w:sz w:val="24"/>
          <w:szCs w:val="24"/>
        </w:rPr>
        <w:t>il</w:t>
      </w:r>
      <w:r w:rsidR="00BA3D28" w:rsidRPr="00AF38A8">
        <w:rPr>
          <w:rFonts w:asciiTheme="minorHAnsi" w:eastAsia="Times New Roman" w:hAnsiTheme="minorHAnsi" w:cstheme="minorHAnsi"/>
          <w:sz w:val="24"/>
          <w:szCs w:val="24"/>
        </w:rPr>
        <w:t xml:space="preserve"> concorrente si impegna, a pena di esclusione, in caso di aggiudicazione del contratto, ad assicurare:</w:t>
      </w:r>
    </w:p>
    <w:p w14:paraId="41943EBB" w14:textId="4B3045C5" w:rsidR="0076366E" w:rsidRPr="00AF38A8" w:rsidRDefault="00BA3D28" w:rsidP="00BD1359">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una quota pari al …per cento delle assunzioni necessarie [</w:t>
      </w:r>
      <w:r w:rsidRPr="00A37808">
        <w:rPr>
          <w:rFonts w:asciiTheme="minorHAnsi" w:eastAsia="Times New Roman" w:hAnsiTheme="minorHAnsi" w:cstheme="minorHAnsi"/>
          <w:i/>
          <w:sz w:val="24"/>
          <w:szCs w:val="24"/>
        </w:rPr>
        <w:t>indicare la quota percentuale scelta</w:t>
      </w:r>
      <w:r w:rsidRPr="00AF38A8">
        <w:rPr>
          <w:rFonts w:asciiTheme="minorHAnsi" w:eastAsia="Times New Roman" w:hAnsiTheme="minorHAnsi" w:cstheme="minorHAnsi"/>
          <w:sz w:val="24"/>
          <w:szCs w:val="24"/>
        </w:rPr>
        <w:t>] di occupazione giovanile</w:t>
      </w:r>
      <w:r w:rsidR="00A37808">
        <w:rPr>
          <w:rFonts w:asciiTheme="minorHAnsi" w:eastAsia="Times New Roman" w:hAnsiTheme="minorHAnsi" w:cstheme="minorHAnsi"/>
          <w:sz w:val="24"/>
          <w:szCs w:val="24"/>
        </w:rPr>
        <w:t>;</w:t>
      </w:r>
    </w:p>
    <w:p w14:paraId="6F377116" w14:textId="15F1817E" w:rsidR="0076366E" w:rsidRPr="00AF38A8" w:rsidRDefault="00BA3D28" w:rsidP="00BD1359">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una quota pari al … per cento delle assunzioni necessarie [</w:t>
      </w:r>
      <w:r w:rsidRPr="00A37808">
        <w:rPr>
          <w:rFonts w:asciiTheme="minorHAnsi" w:eastAsia="Times New Roman" w:hAnsiTheme="minorHAnsi" w:cstheme="minorHAnsi"/>
          <w:i/>
          <w:sz w:val="24"/>
          <w:szCs w:val="24"/>
        </w:rPr>
        <w:t>indicare la quota percentuale scelta</w:t>
      </w:r>
      <w:r w:rsidRPr="00AF38A8">
        <w:rPr>
          <w:rFonts w:asciiTheme="minorHAnsi" w:eastAsia="Times New Roman" w:hAnsiTheme="minorHAnsi" w:cstheme="minorHAnsi"/>
          <w:sz w:val="24"/>
          <w:szCs w:val="24"/>
        </w:rPr>
        <w:t>] di occupazione femminile</w:t>
      </w:r>
      <w:r w:rsidR="00A37808">
        <w:rPr>
          <w:rFonts w:asciiTheme="minorHAnsi" w:eastAsia="Times New Roman" w:hAnsiTheme="minorHAnsi" w:cstheme="minorHAnsi"/>
          <w:sz w:val="24"/>
          <w:szCs w:val="24"/>
        </w:rPr>
        <w:t>;</w:t>
      </w:r>
    </w:p>
    <w:p w14:paraId="3CFA3B13" w14:textId="65931255"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la quota percentuale scelta, deve essere almeno pari al 30 per cento, ovvero inferiore; in tal caso le stazioni appaltanti motivano le ragioni della deroga, richiamando espressamente la determina a contrarre o l’atto immediatamente esecutivo della stessa ovvero l’atto espresso del responsabile della stazione appaltante adottato prima o contestualmente all'avvio della procedura ad evidenza pubblica, contenenti adeguata e specifica motivazione della deroga] delle assunzioni necessarie per l'esecuzione del contratto o per la realizzazione di attività ad esso connesse o strumentali [calcolate secondo le modalità di cui alle linee 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dicembre 2021, n. 309 e delle linee guida adottate ai sensi dell’articolo 1, comma 8, dell’allegato II.3 al Codice].</w:t>
      </w:r>
    </w:p>
    <w:p w14:paraId="66B918E6"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trike/>
          <w:sz w:val="24"/>
          <w:szCs w:val="24"/>
          <w:highlight w:val="yellow"/>
        </w:rPr>
      </w:pPr>
    </w:p>
    <w:p w14:paraId="65FD16F4" w14:textId="2FBD5179"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b/>
          <w:sz w:val="24"/>
          <w:szCs w:val="24"/>
        </w:rPr>
        <w:t>[</w:t>
      </w:r>
      <w:r w:rsidRPr="00A37808">
        <w:rPr>
          <w:rFonts w:asciiTheme="minorHAnsi" w:eastAsia="Times New Roman" w:hAnsiTheme="minorHAnsi" w:cstheme="minorHAnsi"/>
          <w:b/>
          <w:i/>
          <w:sz w:val="24"/>
          <w:szCs w:val="24"/>
        </w:rPr>
        <w:t>Per le altre procedure</w:t>
      </w:r>
      <w:r w:rsidRPr="00AF38A8">
        <w:rPr>
          <w:rFonts w:asciiTheme="minorHAnsi" w:eastAsia="Times New Roman" w:hAnsiTheme="minorHAnsi" w:cstheme="minorHAnsi"/>
          <w:b/>
          <w:sz w:val="24"/>
          <w:szCs w:val="24"/>
        </w:rPr>
        <w:t>]</w:t>
      </w:r>
      <w:r w:rsidRPr="00AF38A8">
        <w:rPr>
          <w:rFonts w:asciiTheme="minorHAnsi" w:eastAsia="Times New Roman" w:hAnsiTheme="minorHAnsi" w:cstheme="minorHAnsi"/>
          <w:sz w:val="24"/>
          <w:szCs w:val="24"/>
        </w:rPr>
        <w:t xml:space="preserve"> Al fine di garantire le pari opportunità generazionali, di genere e di inclusione lavorativa per le personali con disabilità o svantaggiate, l’aggiudicatario si impegna a … [</w:t>
      </w:r>
      <w:r w:rsidRPr="00AF38A8">
        <w:rPr>
          <w:rFonts w:asciiTheme="minorHAnsi" w:eastAsia="Times New Roman" w:hAnsiTheme="minorHAnsi" w:cstheme="minorHAnsi"/>
          <w:i/>
          <w:sz w:val="24"/>
          <w:szCs w:val="24"/>
        </w:rPr>
        <w:t>le stazioni appaltanti indicano quali misure l’aggiudicatario è tenuto ad adempiere, tenendo conto delle prestazioni oggetto del contratto e del mercato di riferimento</w:t>
      </w:r>
      <w:r w:rsidRPr="00AF38A8">
        <w:rPr>
          <w:rFonts w:asciiTheme="minorHAnsi" w:eastAsia="Times New Roman" w:hAnsiTheme="minorHAnsi" w:cstheme="minorHAnsi"/>
          <w:sz w:val="24"/>
          <w:szCs w:val="24"/>
        </w:rPr>
        <w:t xml:space="preserve">] </w:t>
      </w:r>
    </w:p>
    <w:p w14:paraId="396681F5"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C945C63" w14:textId="1F141BCD"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37808">
        <w:rPr>
          <w:rFonts w:asciiTheme="minorHAnsi" w:eastAsia="Times New Roman" w:hAnsiTheme="minorHAnsi" w:cstheme="minorHAnsi"/>
          <w:b/>
          <w:i/>
          <w:sz w:val="24"/>
          <w:szCs w:val="24"/>
        </w:rPr>
        <w:t>Se la stazione appaltante richiede requisiti particolari per l'esecuzione del contratto ai sensi dell’articolo 113 del Codice</w:t>
      </w:r>
      <w:r w:rsidRPr="00AF38A8">
        <w:rPr>
          <w:rFonts w:asciiTheme="minorHAnsi" w:eastAsia="Times New Roman" w:hAnsiTheme="minorHAnsi" w:cstheme="minorHAnsi"/>
          <w:sz w:val="24"/>
          <w:szCs w:val="24"/>
        </w:rPr>
        <w:t>] Per l’esecuzione del servizio oggetto del presente appalto, ai sensi dell’articolo 113 del Codice, è richiesto … [</w:t>
      </w:r>
      <w:r w:rsidRPr="00AF38A8">
        <w:rPr>
          <w:rFonts w:asciiTheme="minorHAnsi" w:eastAsia="Times New Roman" w:hAnsiTheme="minorHAnsi" w:cstheme="minorHAnsi"/>
          <w:i/>
          <w:sz w:val="24"/>
          <w:szCs w:val="24"/>
        </w:rPr>
        <w:t>specificare</w:t>
      </w:r>
      <w:r w:rsidRPr="00AF38A8">
        <w:rPr>
          <w:rFonts w:asciiTheme="minorHAnsi" w:eastAsia="Times New Roman" w:hAnsiTheme="minorHAnsi" w:cstheme="minorHAnsi"/>
          <w:sz w:val="24"/>
          <w:szCs w:val="24"/>
        </w:rPr>
        <w:t>].</w:t>
      </w:r>
    </w:p>
    <w:p w14:paraId="52A90746"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988E2F2"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04" w:name="_Toc140929832"/>
      <w:bookmarkStart w:id="105" w:name="_Toc141027274"/>
      <w:r w:rsidRPr="00AF38A8">
        <w:rPr>
          <w:rFonts w:asciiTheme="minorHAnsi" w:eastAsia="Times New Roman" w:hAnsiTheme="minorHAnsi" w:cstheme="minorHAnsi"/>
          <w:sz w:val="24"/>
          <w:szCs w:val="24"/>
        </w:rPr>
        <w:t>Garanzia provvisoria</w:t>
      </w:r>
      <w:bookmarkEnd w:id="104"/>
      <w:bookmarkEnd w:id="105"/>
    </w:p>
    <w:p w14:paraId="53772193" w14:textId="77777777" w:rsidR="0076366E" w:rsidRPr="00AF38A8" w:rsidRDefault="00BA3D28" w:rsidP="00BD1359">
      <w:pPr>
        <w:spacing w:line="276" w:lineRule="auto"/>
        <w:jc w:val="both"/>
        <w:rPr>
          <w:rFonts w:asciiTheme="minorHAnsi" w:eastAsia="Times New Roman" w:hAnsiTheme="minorHAnsi" w:cstheme="minorHAnsi"/>
          <w:sz w:val="24"/>
          <w:szCs w:val="24"/>
        </w:rPr>
      </w:pPr>
      <w:bookmarkStart w:id="106" w:name="_heading=h.2u6wntf" w:colFirst="0" w:colLast="0"/>
      <w:bookmarkEnd w:id="106"/>
      <w:r w:rsidRPr="00AF38A8">
        <w:rPr>
          <w:rFonts w:asciiTheme="minorHAnsi" w:eastAsia="Times New Roman" w:hAnsiTheme="minorHAnsi" w:cstheme="minorHAnsi"/>
          <w:b/>
          <w:i/>
          <w:sz w:val="24"/>
          <w:szCs w:val="24"/>
        </w:rPr>
        <w:t xml:space="preserve">[Nel caso in cui l’appalto comprenda esclusivamente servizi di progettazione, redazione del piano della sicurezza e coordinamento e compiti di supporto al RUP] </w:t>
      </w:r>
      <w:r w:rsidRPr="00AF38A8">
        <w:rPr>
          <w:rFonts w:asciiTheme="minorHAnsi" w:eastAsia="Times New Roman" w:hAnsiTheme="minorHAnsi" w:cstheme="minorHAnsi"/>
          <w:sz w:val="24"/>
          <w:szCs w:val="24"/>
        </w:rPr>
        <w:t>La garanzia provvisoria non è dovuta, ai sensi dell’art. 106, comma 11 del Codice.</w:t>
      </w:r>
    </w:p>
    <w:p w14:paraId="02BE750C" w14:textId="77777777" w:rsidR="0076366E" w:rsidRPr="00AF38A8" w:rsidRDefault="00BA3D28" w:rsidP="00BD1359">
      <w:pP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 nel caso in cui l’appalto comprenda anche servizi diversi da quelli indicati   all’art. 106, comma 11, sostituire il testo precedente con quanto segue]</w:t>
      </w:r>
    </w:p>
    <w:p w14:paraId="1895D655" w14:textId="568EF654" w:rsidR="00B62EB7" w:rsidRPr="00AF38A8" w:rsidRDefault="00BA3D28" w:rsidP="00BD1359">
      <w:pPr>
        <w:pBdr>
          <w:top w:val="nil"/>
          <w:left w:val="nil"/>
          <w:bottom w:val="nil"/>
          <w:right w:val="nil"/>
          <w:between w:val="nil"/>
        </w:pBdr>
        <w:spacing w:line="276" w:lineRule="auto"/>
        <w:jc w:val="both"/>
        <w:rPr>
          <w:rFonts w:asciiTheme="minorHAnsi" w:hAnsiTheme="minorHAnsi" w:cstheme="minorHAnsi"/>
          <w:sz w:val="24"/>
          <w:szCs w:val="24"/>
        </w:rPr>
      </w:pPr>
      <w:r w:rsidRPr="00AF38A8">
        <w:rPr>
          <w:rFonts w:asciiTheme="minorHAnsi" w:eastAsia="Times New Roman" w:hAnsiTheme="minorHAnsi" w:cstheme="minorHAnsi"/>
          <w:sz w:val="24"/>
          <w:szCs w:val="24"/>
        </w:rPr>
        <w:t xml:space="preserve">Ai sensi dell’art. </w:t>
      </w:r>
      <w:r w:rsidR="00233B2F" w:rsidRPr="00AF38A8">
        <w:rPr>
          <w:rFonts w:asciiTheme="minorHAnsi" w:hAnsiTheme="minorHAnsi" w:cstheme="minorHAnsi"/>
          <w:sz w:val="24"/>
          <w:szCs w:val="24"/>
        </w:rPr>
        <w:t>53 del Codice la garanzia provvisoria ex art. 106 del medesimo Codice non è richiesta.</w:t>
      </w:r>
    </w:p>
    <w:p w14:paraId="474C2C68" w14:textId="77777777" w:rsidR="00233B2F" w:rsidRPr="00AF38A8" w:rsidRDefault="0057388A" w:rsidP="00BD1359">
      <w:pPr>
        <w:pStyle w:val="Paragrafoelenco"/>
        <w:spacing w:line="276" w:lineRule="auto"/>
        <w:ind w:left="0" w:firstLine="0"/>
        <w:jc w:val="both"/>
        <w:rPr>
          <w:rFonts w:asciiTheme="minorHAnsi" w:hAnsiTheme="minorHAnsi" w:cstheme="minorHAnsi"/>
          <w:sz w:val="24"/>
          <w:szCs w:val="24"/>
        </w:rPr>
      </w:pPr>
      <w:r w:rsidRPr="00AF38A8">
        <w:rPr>
          <w:rFonts w:asciiTheme="minorHAnsi" w:hAnsiTheme="minorHAnsi" w:cstheme="minorHAnsi"/>
          <w:sz w:val="24"/>
          <w:szCs w:val="24"/>
        </w:rPr>
        <w:t>[</w:t>
      </w:r>
      <w:r w:rsidR="003874CD" w:rsidRPr="00AF38A8">
        <w:rPr>
          <w:rFonts w:asciiTheme="minorHAnsi" w:hAnsiTheme="minorHAnsi" w:cstheme="minorHAnsi"/>
          <w:b/>
          <w:bCs/>
          <w:sz w:val="24"/>
          <w:szCs w:val="24"/>
        </w:rPr>
        <w:t>o i</w:t>
      </w:r>
      <w:r w:rsidR="00233B2F" w:rsidRPr="00AF38A8">
        <w:rPr>
          <w:rFonts w:asciiTheme="minorHAnsi" w:hAnsiTheme="minorHAnsi" w:cstheme="minorHAnsi"/>
          <w:b/>
          <w:bCs/>
          <w:sz w:val="24"/>
          <w:szCs w:val="24"/>
        </w:rPr>
        <w:t>n alternativa</w:t>
      </w:r>
      <w:r w:rsidR="003874CD" w:rsidRPr="00AF38A8">
        <w:rPr>
          <w:rFonts w:asciiTheme="minorHAnsi" w:hAnsiTheme="minorHAnsi" w:cstheme="minorHAnsi"/>
          <w:b/>
          <w:bCs/>
          <w:sz w:val="24"/>
          <w:szCs w:val="24"/>
        </w:rPr>
        <w:t xml:space="preserve"> in caso di particolari esigenze]</w:t>
      </w:r>
    </w:p>
    <w:p w14:paraId="730D0667" w14:textId="5F3C760E"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L’offerta è corredata, a pena di esclusione, da una garanzia provvisoria pari a </w:t>
      </w:r>
      <w:r w:rsidR="003874CD" w:rsidRPr="00AF38A8">
        <w:rPr>
          <w:rFonts w:asciiTheme="minorHAnsi" w:hAnsiTheme="minorHAnsi" w:cstheme="minorHAnsi"/>
          <w:sz w:val="24"/>
          <w:szCs w:val="24"/>
        </w:rPr>
        <w:t>….</w:t>
      </w:r>
      <w:r w:rsidR="00B3644B" w:rsidRPr="00AF38A8">
        <w:rPr>
          <w:rFonts w:asciiTheme="minorHAnsi" w:hAnsiTheme="minorHAnsi" w:cstheme="minorHAnsi"/>
          <w:sz w:val="24"/>
          <w:szCs w:val="24"/>
        </w:rPr>
        <w:t>[</w:t>
      </w:r>
      <w:r w:rsidR="003874CD" w:rsidRPr="00AF38A8">
        <w:rPr>
          <w:rFonts w:asciiTheme="minorHAnsi" w:hAnsiTheme="minorHAnsi" w:cstheme="minorHAnsi"/>
          <w:i/>
          <w:sz w:val="24"/>
          <w:szCs w:val="24"/>
        </w:rPr>
        <w:t>l’importo deve essere pari o inferiore all'uno per cento di quello previsto nell'avviso o nell'invito per il contratto oggetto di</w:t>
      </w:r>
      <w:r w:rsidR="00B3644B" w:rsidRPr="00AF38A8">
        <w:rPr>
          <w:rFonts w:asciiTheme="minorHAnsi" w:hAnsiTheme="minorHAnsi" w:cstheme="minorHAnsi"/>
          <w:i/>
          <w:sz w:val="24"/>
          <w:szCs w:val="24"/>
        </w:rPr>
        <w:t xml:space="preserve"> </w:t>
      </w:r>
      <w:r w:rsidR="003874CD" w:rsidRPr="00AF38A8">
        <w:rPr>
          <w:rFonts w:asciiTheme="minorHAnsi" w:hAnsiTheme="minorHAnsi" w:cstheme="minorHAnsi"/>
          <w:i/>
          <w:sz w:val="24"/>
          <w:szCs w:val="24"/>
        </w:rPr>
        <w:t>affidamento</w:t>
      </w:r>
      <w:r w:rsidR="00B3644B" w:rsidRPr="00AF38A8">
        <w:rPr>
          <w:rFonts w:asciiTheme="minorHAnsi" w:hAnsiTheme="minorHAnsi" w:cstheme="minorHAnsi"/>
          <w:sz w:val="24"/>
          <w:szCs w:val="24"/>
        </w:rPr>
        <w:t>]</w:t>
      </w:r>
      <w:r w:rsidR="003874CD" w:rsidRPr="00AF38A8">
        <w:rPr>
          <w:rFonts w:asciiTheme="minorHAnsi" w:hAnsiTheme="minorHAnsi" w:cstheme="minorHAnsi"/>
          <w:sz w:val="24"/>
          <w:szCs w:val="24"/>
        </w:rPr>
        <w:t>, per le seguenti ragioni………….</w:t>
      </w:r>
      <w:r w:rsidR="00B3644B" w:rsidRPr="00AF38A8">
        <w:rPr>
          <w:rFonts w:asciiTheme="minorHAnsi" w:hAnsiTheme="minorHAnsi" w:cstheme="minorHAnsi"/>
          <w:sz w:val="24"/>
          <w:szCs w:val="24"/>
        </w:rPr>
        <w:t>[</w:t>
      </w:r>
      <w:r w:rsidR="003874CD" w:rsidRPr="00AF38A8">
        <w:rPr>
          <w:rFonts w:asciiTheme="minorHAnsi" w:hAnsiTheme="minorHAnsi" w:cstheme="minorHAnsi"/>
          <w:i/>
          <w:sz w:val="24"/>
          <w:szCs w:val="24"/>
        </w:rPr>
        <w:t>indicare le particolari esigenze che giustificano la richiesta della garanzia</w:t>
      </w:r>
      <w:r w:rsidR="00B3644B" w:rsidRPr="00AF38A8">
        <w:rPr>
          <w:rFonts w:asciiTheme="minorHAnsi" w:hAnsiTheme="minorHAnsi" w:cstheme="minorHAnsi"/>
          <w:sz w:val="24"/>
          <w:szCs w:val="24"/>
        </w:rPr>
        <w:t>]</w:t>
      </w:r>
      <w:r w:rsidR="003874CD" w:rsidRPr="00AF38A8">
        <w:rPr>
          <w:rFonts w:asciiTheme="minorHAnsi" w:hAnsiTheme="minorHAnsi" w:cstheme="minorHAnsi"/>
          <w:sz w:val="24"/>
          <w:szCs w:val="24"/>
        </w:rPr>
        <w:t>.</w:t>
      </w:r>
      <w:r w:rsidR="0057388A" w:rsidRPr="00AF38A8">
        <w:rPr>
          <w:rFonts w:asciiTheme="minorHAnsi" w:hAnsiTheme="minorHAnsi" w:cstheme="minorHAnsi"/>
          <w:sz w:val="24"/>
          <w:szCs w:val="24"/>
        </w:rPr>
        <w:t xml:space="preserve"> </w:t>
      </w:r>
      <w:bookmarkStart w:id="107" w:name="_heading=h.dl0amlrfc22" w:colFirst="0" w:colLast="0"/>
      <w:bookmarkStart w:id="108" w:name="_heading=h.mq98wb75k791" w:colFirst="0" w:colLast="0"/>
      <w:bookmarkStart w:id="109" w:name="_heading=h.41ucjfmnkzsn" w:colFirst="0" w:colLast="0"/>
      <w:bookmarkEnd w:id="107"/>
      <w:bookmarkEnd w:id="108"/>
      <w:bookmarkEnd w:id="109"/>
      <w:r w:rsidRPr="00AF38A8">
        <w:rPr>
          <w:rFonts w:asciiTheme="minorHAnsi" w:eastAsia="Times New Roman" w:hAnsiTheme="minorHAnsi" w:cstheme="minorHAnsi"/>
          <w:sz w:val="24"/>
          <w:szCs w:val="24"/>
        </w:rPr>
        <w:t xml:space="preserve">La garanzia è costituita sotto forma di cauzione </w:t>
      </w:r>
      <w:r w:rsidR="003874CD" w:rsidRPr="00AF38A8">
        <w:rPr>
          <w:rFonts w:asciiTheme="minorHAnsi" w:hAnsiTheme="minorHAnsi" w:cstheme="minorHAnsi"/>
          <w:sz w:val="24"/>
          <w:szCs w:val="24"/>
        </w:rPr>
        <w:t>oppure</w:t>
      </w:r>
      <w:r w:rsidRPr="00AF38A8">
        <w:rPr>
          <w:rFonts w:asciiTheme="minorHAnsi" w:eastAsia="Times New Roman" w:hAnsiTheme="minorHAnsi" w:cstheme="minorHAnsi"/>
          <w:sz w:val="24"/>
          <w:szCs w:val="24"/>
        </w:rPr>
        <w:t xml:space="preserve"> di fideiussione</w:t>
      </w:r>
      <w:r w:rsidR="003874CD" w:rsidRPr="00AF38A8">
        <w:rPr>
          <w:rFonts w:asciiTheme="minorHAnsi" w:hAnsiTheme="minorHAnsi" w:cstheme="minorHAnsi"/>
          <w:sz w:val="24"/>
          <w:szCs w:val="24"/>
        </w:rPr>
        <w:t xml:space="preserve"> con le modalità di cui all’art. 106 del Codice.  </w:t>
      </w:r>
    </w:p>
    <w:p w14:paraId="1DD34936" w14:textId="7512E6EA" w:rsidR="0004141F" w:rsidRDefault="0004141F"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10" w:name="_heading=h.3oy7u29" w:colFirst="0" w:colLast="0"/>
      <w:bookmarkStart w:id="111" w:name="_Toc139277038"/>
      <w:bookmarkEnd w:id="110"/>
    </w:p>
    <w:p w14:paraId="7131A1FB" w14:textId="18200782" w:rsidR="00B822AB" w:rsidRDefault="00B822AB"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FCCBA4E" w14:textId="77777777" w:rsidR="00B822AB" w:rsidRPr="00AF38A8" w:rsidRDefault="00B822AB"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2F66258"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12" w:name="_Toc140929833"/>
      <w:bookmarkStart w:id="113" w:name="_Toc141027275"/>
      <w:r w:rsidRPr="00AF38A8">
        <w:rPr>
          <w:rFonts w:asciiTheme="minorHAnsi" w:eastAsia="Times New Roman" w:hAnsiTheme="minorHAnsi" w:cstheme="minorHAnsi"/>
          <w:sz w:val="24"/>
          <w:szCs w:val="24"/>
        </w:rPr>
        <w:t>Sopralluogo [</w:t>
      </w:r>
      <w:r w:rsidRPr="00A37808">
        <w:rPr>
          <w:rFonts w:asciiTheme="minorHAnsi" w:eastAsia="Times New Roman" w:hAnsiTheme="minorHAnsi" w:cstheme="minorHAnsi"/>
          <w:i/>
          <w:sz w:val="24"/>
          <w:szCs w:val="24"/>
        </w:rPr>
        <w:t>facoltativo</w:t>
      </w:r>
      <w:r w:rsidRPr="00AF38A8">
        <w:rPr>
          <w:rFonts w:asciiTheme="minorHAnsi" w:eastAsia="Times New Roman" w:hAnsiTheme="minorHAnsi" w:cstheme="minorHAnsi"/>
          <w:sz w:val="24"/>
          <w:szCs w:val="24"/>
        </w:rPr>
        <w:t>]</w:t>
      </w:r>
      <w:bookmarkEnd w:id="111"/>
      <w:bookmarkEnd w:id="112"/>
      <w:bookmarkEnd w:id="113"/>
    </w:p>
    <w:p w14:paraId="0201AA92" w14:textId="19688500" w:rsidR="00B3644B" w:rsidRPr="009751EC" w:rsidRDefault="00B3644B"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b/>
          <w:i/>
          <w:sz w:val="18"/>
          <w:szCs w:val="18"/>
        </w:rPr>
      </w:pPr>
      <w:r w:rsidRPr="009751EC">
        <w:rPr>
          <w:rFonts w:ascii="Titillium" w:hAnsi="Titillium"/>
          <w:b/>
          <w:i/>
          <w:sz w:val="18"/>
          <w:szCs w:val="18"/>
        </w:rPr>
        <w:t xml:space="preserve">N.B. </w:t>
      </w:r>
      <w:r w:rsidR="00A37808" w:rsidRPr="009751EC">
        <w:rPr>
          <w:rFonts w:ascii="Titillium" w:hAnsi="Titillium"/>
          <w:b/>
          <w:i/>
          <w:sz w:val="18"/>
          <w:szCs w:val="18"/>
        </w:rPr>
        <w:t>prevedere</w:t>
      </w:r>
      <w:r w:rsidRPr="009751EC">
        <w:rPr>
          <w:rFonts w:ascii="Titillium" w:hAnsi="Titillium"/>
          <w:b/>
          <w:i/>
          <w:sz w:val="18"/>
          <w:szCs w:val="18"/>
        </w:rPr>
        <w:t xml:space="preserve"> il sopralluogo soltanto in casi debitamente motivati</w:t>
      </w:r>
    </w:p>
    <w:p w14:paraId="4658B60D" w14:textId="5A23D771" w:rsidR="00CC435B" w:rsidRPr="00AF38A8" w:rsidRDefault="00CC435B" w:rsidP="00BD1359">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 xml:space="preserve">Il sopralluogo su ... </w:t>
      </w:r>
      <w:r w:rsidRPr="00AF38A8">
        <w:rPr>
          <w:rFonts w:asciiTheme="minorHAnsi" w:hAnsiTheme="minorHAnsi" w:cstheme="minorHAnsi"/>
          <w:i/>
          <w:sz w:val="24"/>
          <w:szCs w:val="24"/>
        </w:rPr>
        <w:t>[indicare eventuali aree/locali/ oggetto di sopralluogo]</w:t>
      </w:r>
      <w:r w:rsidRPr="00AF38A8">
        <w:rPr>
          <w:rFonts w:asciiTheme="minorHAnsi" w:hAnsiTheme="minorHAnsi" w:cstheme="minorHAnsi"/>
          <w:sz w:val="24"/>
          <w:szCs w:val="24"/>
        </w:rPr>
        <w:t xml:space="preserve"> è obbligatorio. Il sopralluogo si rende necessario per le seguenti ragioni … </w:t>
      </w:r>
      <w:r w:rsidRPr="00AF38A8">
        <w:rPr>
          <w:rFonts w:asciiTheme="minorHAnsi" w:hAnsiTheme="minorHAnsi" w:cstheme="minorHAnsi"/>
          <w:i/>
          <w:sz w:val="24"/>
          <w:szCs w:val="24"/>
        </w:rPr>
        <w:t>[fornire la motivazione].</w:t>
      </w:r>
      <w:r w:rsidRPr="00AF38A8">
        <w:rPr>
          <w:rFonts w:asciiTheme="minorHAnsi" w:hAnsiTheme="minorHAnsi" w:cstheme="minorHAnsi"/>
          <w:sz w:val="24"/>
          <w:szCs w:val="24"/>
        </w:rPr>
        <w:t xml:space="preserve"> La mancata effettuazione del sopralluogo è causa di esclusione dalla procedura di gara.</w:t>
      </w:r>
    </w:p>
    <w:p w14:paraId="544CF114" w14:textId="77777777" w:rsidR="00CC435B" w:rsidRPr="00AF38A8" w:rsidRDefault="00CC435B" w:rsidP="00BD1359">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Il sopralluogo è effettuato accedendo di persona nelle aree oggetto di sopralluogo o a distanza.</w:t>
      </w:r>
    </w:p>
    <w:p w14:paraId="26C97CBC" w14:textId="77777777" w:rsidR="00CC435B" w:rsidRPr="00AF38A8" w:rsidRDefault="00CC435B" w:rsidP="00BD1359">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 xml:space="preserve">Il sopralluogo può essere effettuato </w:t>
      </w:r>
      <w:r w:rsidRPr="00AF38A8">
        <w:rPr>
          <w:rFonts w:asciiTheme="minorHAnsi" w:hAnsiTheme="minorHAnsi" w:cstheme="minorHAnsi"/>
          <w:i/>
          <w:sz w:val="24"/>
          <w:szCs w:val="24"/>
        </w:rPr>
        <w:t>… [indicare o i giorni prestabiliti dalla stazione appaltante e/o la possibilità di concordare i giorni in cui svolgerlo di persona o indicare come effettuare il sopralluogo a distanza, ad esempio collegandosi ad un link inserito nella Piattaforma]</w:t>
      </w:r>
      <w:r w:rsidRPr="00AF38A8">
        <w:rPr>
          <w:rFonts w:asciiTheme="minorHAnsi" w:hAnsiTheme="minorHAnsi" w:cstheme="minorHAnsi"/>
          <w:sz w:val="24"/>
          <w:szCs w:val="24"/>
        </w:rPr>
        <w:t xml:space="preserve">. </w:t>
      </w:r>
    </w:p>
    <w:p w14:paraId="1AC3046D" w14:textId="77777777" w:rsidR="00CC435B" w:rsidRPr="00AF38A8" w:rsidRDefault="00CC435B" w:rsidP="00BD1359">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 xml:space="preserve">La richiesta di sopralluogo deve essere presentata entro le ore </w:t>
      </w:r>
      <w:r w:rsidRPr="00AF38A8">
        <w:rPr>
          <w:rFonts w:asciiTheme="minorHAnsi" w:hAnsiTheme="minorHAnsi" w:cstheme="minorHAnsi"/>
          <w:i/>
          <w:sz w:val="24"/>
          <w:szCs w:val="24"/>
        </w:rPr>
        <w:t>... [indicare]</w:t>
      </w:r>
      <w:r w:rsidRPr="00AF38A8">
        <w:rPr>
          <w:rFonts w:asciiTheme="minorHAnsi" w:hAnsiTheme="minorHAnsi" w:cstheme="minorHAnsi"/>
          <w:sz w:val="24"/>
          <w:szCs w:val="24"/>
        </w:rPr>
        <w:t xml:space="preserve"> del giorno …</w:t>
      </w:r>
      <w:r w:rsidRPr="00AF38A8">
        <w:rPr>
          <w:rFonts w:asciiTheme="minorHAnsi" w:hAnsiTheme="minorHAnsi" w:cstheme="minorHAnsi"/>
          <w:i/>
          <w:sz w:val="24"/>
          <w:szCs w:val="24"/>
        </w:rPr>
        <w:t xml:space="preserve"> [indicare], </w:t>
      </w:r>
      <w:r w:rsidRPr="00AF38A8">
        <w:rPr>
          <w:rFonts w:asciiTheme="minorHAnsi" w:hAnsiTheme="minorHAnsi" w:cstheme="minorHAnsi"/>
          <w:sz w:val="24"/>
          <w:szCs w:val="24"/>
        </w:rPr>
        <w:t>tramite la Piattaforma alla</w:t>
      </w:r>
      <w:r w:rsidRPr="00AF38A8">
        <w:rPr>
          <w:rFonts w:asciiTheme="minorHAnsi" w:hAnsiTheme="minorHAnsi" w:cstheme="minorHAnsi"/>
          <w:i/>
          <w:sz w:val="24"/>
          <w:szCs w:val="24"/>
        </w:rPr>
        <w:t xml:space="preserve"> </w:t>
      </w:r>
      <w:r w:rsidRPr="00AF38A8">
        <w:rPr>
          <w:rFonts w:asciiTheme="minorHAnsi" w:hAnsiTheme="minorHAnsi" w:cstheme="minorHAnsi"/>
          <w:sz w:val="24"/>
          <w:szCs w:val="24"/>
        </w:rPr>
        <w:t>Sezione</w:t>
      </w:r>
      <w:r w:rsidRPr="00AF38A8">
        <w:rPr>
          <w:rFonts w:asciiTheme="minorHAnsi" w:hAnsiTheme="minorHAnsi" w:cstheme="minorHAnsi"/>
          <w:i/>
          <w:sz w:val="24"/>
          <w:szCs w:val="24"/>
        </w:rPr>
        <w:t xml:space="preserve"> </w:t>
      </w:r>
      <w:r w:rsidRPr="00AF38A8">
        <w:rPr>
          <w:rFonts w:asciiTheme="minorHAnsi" w:hAnsiTheme="minorHAnsi" w:cstheme="minorHAnsi"/>
          <w:sz w:val="24"/>
          <w:szCs w:val="24"/>
        </w:rPr>
        <w:t xml:space="preserve">… </w:t>
      </w:r>
      <w:r w:rsidRPr="00AF38A8">
        <w:rPr>
          <w:rFonts w:asciiTheme="minorHAnsi" w:hAnsiTheme="minorHAnsi" w:cstheme="minorHAnsi"/>
          <w:i/>
          <w:sz w:val="24"/>
          <w:szCs w:val="24"/>
        </w:rPr>
        <w:t>[indicare]</w:t>
      </w:r>
      <w:r w:rsidRPr="00AF38A8">
        <w:rPr>
          <w:rFonts w:asciiTheme="minorHAnsi" w:hAnsiTheme="minorHAnsi" w:cstheme="minorHAnsi"/>
          <w:sz w:val="24"/>
          <w:szCs w:val="24"/>
        </w:rPr>
        <w:t xml:space="preserve"> e deve riportare il nominativo e la qualifica della persona incaricata di effettuare il sopralluogo. </w:t>
      </w:r>
    </w:p>
    <w:p w14:paraId="468D920E" w14:textId="2C0CED1C" w:rsidR="00CC435B" w:rsidRPr="00AF38A8" w:rsidRDefault="00CC435B" w:rsidP="00BD1359">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 xml:space="preserve">Data, ora e luogo </w:t>
      </w:r>
      <w:r w:rsidRPr="00AF38A8">
        <w:rPr>
          <w:rFonts w:asciiTheme="minorHAnsi" w:hAnsiTheme="minorHAnsi" w:cstheme="minorHAnsi"/>
          <w:i/>
          <w:sz w:val="24"/>
          <w:szCs w:val="24"/>
        </w:rPr>
        <w:t>[fisico in caso di sopralluogo effettuato di persona o link o area della Piattaforma in caso di sopralluogo virtuale]</w:t>
      </w:r>
      <w:r w:rsidRPr="00AF38A8">
        <w:rPr>
          <w:rFonts w:asciiTheme="minorHAnsi" w:hAnsiTheme="minorHAnsi" w:cstheme="minorHAnsi"/>
          <w:sz w:val="24"/>
          <w:szCs w:val="24"/>
        </w:rPr>
        <w:t xml:space="preserve"> del sopralluogo sono comunicati ai concorrenti con almeno ... </w:t>
      </w:r>
      <w:r w:rsidRPr="00AF38A8">
        <w:rPr>
          <w:rFonts w:asciiTheme="minorHAnsi" w:hAnsiTheme="minorHAnsi" w:cstheme="minorHAnsi"/>
          <w:i/>
          <w:sz w:val="24"/>
          <w:szCs w:val="24"/>
        </w:rPr>
        <w:t>[indicare]</w:t>
      </w:r>
      <w:r w:rsidRPr="00AF38A8">
        <w:rPr>
          <w:rFonts w:asciiTheme="minorHAnsi" w:hAnsiTheme="minorHAnsi" w:cstheme="minorHAnsi"/>
          <w:sz w:val="24"/>
          <w:szCs w:val="24"/>
        </w:rPr>
        <w:t xml:space="preserve"> giorni di anticipo. Viene rilasciata l’attestazione di avvenuto svolgimento del sopralluogo.</w:t>
      </w:r>
    </w:p>
    <w:p w14:paraId="4028EF5D" w14:textId="77777777" w:rsidR="00CC435B" w:rsidRPr="00AF38A8" w:rsidRDefault="00CC435B" w:rsidP="00BD1359">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Il sopralluogo può essere effettuato dal rappresentante legale/procuratore/direttore tecnico in possesso del documento di identità, o da soggetto diverso rappresentante dell’operatore economico purché in possesso di apposita delega, del proprio documento di identità e di copia di quello del delegante.</w:t>
      </w:r>
    </w:p>
    <w:p w14:paraId="7D73992D" w14:textId="77777777" w:rsidR="00CC435B" w:rsidRPr="00AF38A8" w:rsidRDefault="00CC435B" w:rsidP="00BD1359">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Il soggetto delegato ad effettuare il sopralluogo non può ricevere l’incarico da più concorrenti. In tal caso la stazione appaltante non rilascia la relativa attestazione ad alcuno dei soggetti deleganti.</w:t>
      </w:r>
    </w:p>
    <w:p w14:paraId="56C83DBF" w14:textId="77777777" w:rsidR="00CC435B" w:rsidRPr="00AF38A8" w:rsidRDefault="00CC435B" w:rsidP="00BD1359">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 xml:space="preserve">In caso di raggruppamento temporaneo o consorzio ordinario già costituiti, GEIE, aggregazione di retisti, il sopralluogo può essere effettuato da un rappresentante degli operatori economici raggruppati, aggregati in rete o consorziati. </w:t>
      </w:r>
    </w:p>
    <w:p w14:paraId="5AF59F87" w14:textId="77777777" w:rsidR="00CC435B" w:rsidRPr="00AF38A8" w:rsidRDefault="00CC435B" w:rsidP="00BD1359">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 xml:space="preserve">In caso di raggruppamento temporaneo o consorzio ordinario, aggregazione di retisti non ancora costituiti, il sopralluogo è effettuato da un rappresentante di uno degli operatori economici che costituiranno il raggruppamento o l’aggregazione in rete o il consorzio. </w:t>
      </w:r>
    </w:p>
    <w:p w14:paraId="44FA6DD3" w14:textId="13DB9E53" w:rsidR="00CC435B" w:rsidRDefault="00CC435B"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caso di consorzio di cui all’articolo 66 comma 1 lett. g) del Codice il sopralluogo deve essere effettuato da soggetto munito di delega conferita dal consorzio oppure dall’operatore economico consorziato indicato come esecutore.</w:t>
      </w:r>
    </w:p>
    <w:p w14:paraId="6B559217" w14:textId="2DEE73B3" w:rsidR="00BD1359" w:rsidRPr="00AF38A8" w:rsidRDefault="00BD1359"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14" w:name="_Hlk141034068"/>
      <w:r w:rsidRPr="00BD1359">
        <w:rPr>
          <w:rFonts w:asciiTheme="minorHAnsi" w:eastAsia="Times New Roman" w:hAnsiTheme="minorHAnsi" w:cstheme="minorHAnsi"/>
          <w:sz w:val="24"/>
          <w:szCs w:val="24"/>
        </w:rPr>
        <w:t xml:space="preserve">La mancata allegazione dell’attestazione di avvenuto sopralluogo è sanabile mediante soccorso istruttorio ex art. 101 del Codice. </w:t>
      </w:r>
      <w:bookmarkEnd w:id="114"/>
    </w:p>
    <w:p w14:paraId="3C78A8AD" w14:textId="77777777" w:rsidR="00CC435B" w:rsidRPr="002B5D71" w:rsidRDefault="00CC435B"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b/>
          <w:i/>
          <w:sz w:val="18"/>
          <w:szCs w:val="18"/>
        </w:rPr>
      </w:pPr>
      <w:r w:rsidRPr="002B5D71">
        <w:rPr>
          <w:rFonts w:ascii="Titillium" w:hAnsi="Titillium"/>
          <w:b/>
          <w:i/>
          <w:sz w:val="18"/>
          <w:szCs w:val="18"/>
        </w:rPr>
        <w:t>N.B.: i sopralluoghi devono essere fissati in date tali da consentire agli operatori economici di poter effettuare eventuali richieste di chiarimenti ovvero di regola almeno tre giorni prima della scadenza del termine per la richiesta dei chiarimenti.</w:t>
      </w:r>
    </w:p>
    <w:p w14:paraId="2EA845B2" w14:textId="77777777" w:rsidR="00E96DFB" w:rsidRPr="00AF38A8" w:rsidRDefault="00E96DFB"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5643FBB"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15" w:name="bookmark=id.3tbugp1" w:colFirst="0" w:colLast="0"/>
      <w:bookmarkStart w:id="116" w:name="_Toc139277039"/>
      <w:bookmarkStart w:id="117" w:name="_Toc140929834"/>
      <w:bookmarkStart w:id="118" w:name="_Toc141027276"/>
      <w:bookmarkEnd w:id="115"/>
      <w:r w:rsidRPr="00AF38A8">
        <w:rPr>
          <w:rFonts w:asciiTheme="minorHAnsi" w:eastAsia="Times New Roman" w:hAnsiTheme="minorHAnsi" w:cstheme="minorHAnsi"/>
          <w:sz w:val="24"/>
          <w:szCs w:val="24"/>
        </w:rPr>
        <w:t>Pagamento del contributo a favore dell’ANAC</w:t>
      </w:r>
      <w:bookmarkEnd w:id="116"/>
      <w:bookmarkEnd w:id="117"/>
      <w:bookmarkEnd w:id="118"/>
    </w:p>
    <w:p w14:paraId="43D7B317" w14:textId="3491CAA5" w:rsidR="003A0BA8" w:rsidRDefault="00BA3D28" w:rsidP="00BD1359">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bookmarkStart w:id="119" w:name="_Hlk139560439"/>
      <w:r w:rsidRPr="00AF38A8">
        <w:rPr>
          <w:rFonts w:asciiTheme="minorHAnsi" w:eastAsia="Times New Roman" w:hAnsiTheme="minorHAnsi" w:cstheme="minorHAnsi"/>
          <w:sz w:val="24"/>
          <w:szCs w:val="24"/>
        </w:rPr>
        <w:t>Non è dovuto il contributo in favore dell’Autorità Nazionale Anticorruzione</w:t>
      </w:r>
      <w:r w:rsidR="003A0BA8">
        <w:rPr>
          <w:rFonts w:asciiTheme="minorHAnsi" w:eastAsia="Times New Roman" w:hAnsiTheme="minorHAnsi" w:cstheme="minorHAnsi"/>
          <w:sz w:val="24"/>
          <w:szCs w:val="24"/>
        </w:rPr>
        <w:t xml:space="preserve"> di cui alla delibera n. 621 del 20 dicembre 2022.</w:t>
      </w:r>
    </w:p>
    <w:p w14:paraId="1169E574" w14:textId="2B174180" w:rsidR="003A0BA8" w:rsidRDefault="00BA3D28" w:rsidP="00BD1359">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Gli operatori economici che partecipano alla presente procedura di gara sono esonerati dal versamento del previsto contributo a favore dell’ANAC</w:t>
      </w:r>
      <w:r w:rsidR="003A0BA8">
        <w:rPr>
          <w:rFonts w:asciiTheme="minorHAnsi" w:eastAsia="Times New Roman" w:hAnsiTheme="minorHAnsi" w:cstheme="minorHAnsi"/>
          <w:sz w:val="24"/>
          <w:szCs w:val="24"/>
        </w:rPr>
        <w:t xml:space="preserve"> (ai sensi del </w:t>
      </w:r>
      <w:r w:rsidR="003A0BA8" w:rsidRPr="003A0BA8">
        <w:rPr>
          <w:rFonts w:asciiTheme="minorHAnsi" w:eastAsia="Times New Roman" w:hAnsiTheme="minorHAnsi" w:cstheme="minorHAnsi"/>
          <w:sz w:val="24"/>
          <w:szCs w:val="24"/>
        </w:rPr>
        <w:t>decreto del Presidente del Consiglio dei ministri del 28 settembre 2017 mediante il quale è stata resa esecutiva la delibera n. 359 adottata dall’Autorità nazionale anticorruzione in data 29 marzo 2017, integrata con la delibera n. 1078 del 21 novembre 2018, concernente l’esonero per l’anno 2017 e per gli anni successivi dal pagamento del contributo in favore dell’Autorità per l’affidamento di lavori, servizi e forniture espletati nell’ambito della ricostruzione, pubblica e privata, a seguito degli eventi sismici del 2016 e 2017)</w:t>
      </w:r>
      <w:r w:rsidR="003A0BA8">
        <w:rPr>
          <w:rFonts w:asciiTheme="minorHAnsi" w:eastAsia="Times New Roman" w:hAnsiTheme="minorHAnsi" w:cstheme="minorHAnsi"/>
          <w:sz w:val="24"/>
          <w:szCs w:val="24"/>
        </w:rPr>
        <w:t>.</w:t>
      </w:r>
    </w:p>
    <w:p w14:paraId="11EDC194" w14:textId="5B0781C9" w:rsidR="0076366E" w:rsidRPr="003A0BA8" w:rsidRDefault="00BA3D28" w:rsidP="00BD1359">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r w:rsidRPr="003A0BA8">
        <w:rPr>
          <w:rFonts w:asciiTheme="minorHAnsi" w:eastAsia="Times New Roman" w:hAnsiTheme="minorHAnsi" w:cstheme="minorHAnsi"/>
          <w:sz w:val="24"/>
          <w:szCs w:val="24"/>
        </w:rPr>
        <w:t>Si rimanda al Comunicato del Presidente dell'Autorità dell'11 ottobre 2017 recante “Esonero del pagamento del contributo in favore dell’Autorità per l’affidamento dei lavori, servizi e forniture espletati nell’ambito della ricostruzione, pubblica e privata, a seguito degli eventi sismici del 2016 e del 2017 – Istruzioni operative”.</w:t>
      </w:r>
    </w:p>
    <w:p w14:paraId="4A0ADC14" w14:textId="62FF7DB3" w:rsidR="003A0BA8" w:rsidRPr="003A0BA8" w:rsidRDefault="003A0BA8"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3A0BA8">
        <w:rPr>
          <w:rFonts w:ascii="Titillium" w:hAnsi="Titillium"/>
          <w:i/>
          <w:sz w:val="18"/>
          <w:szCs w:val="18"/>
        </w:rPr>
        <w:t xml:space="preserve">N.B. ai fini dell’esonero dal pagamento del contributo, il RUP dovrà inviare esclusivamente via PEC all’indirizzo </w:t>
      </w:r>
      <w:hyperlink r:id="rId10" w:history="1">
        <w:r w:rsidRPr="003A0BA8">
          <w:rPr>
            <w:rFonts w:ascii="Titillium" w:hAnsi="Titillium"/>
            <w:i/>
            <w:sz w:val="18"/>
            <w:szCs w:val="18"/>
          </w:rPr>
          <w:t>protocollo@pec.anticorruzione.it</w:t>
        </w:r>
      </w:hyperlink>
      <w:r w:rsidRPr="003A0BA8">
        <w:rPr>
          <w:rFonts w:ascii="Titillium" w:hAnsi="Titillium"/>
          <w:i/>
          <w:sz w:val="18"/>
          <w:szCs w:val="18"/>
        </w:rPr>
        <w:t>, entro 15 giorni solari successivi alla indizione della procedura, la richiesta di esonero secondo l’apposito modello.</w:t>
      </w:r>
    </w:p>
    <w:bookmarkEnd w:id="119"/>
    <w:p w14:paraId="6927F9AB"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DA20A16"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20" w:name="_Toc139277040"/>
      <w:bookmarkStart w:id="121" w:name="_Toc140929835"/>
      <w:bookmarkStart w:id="122" w:name="_Toc141027277"/>
      <w:r w:rsidRPr="00AF38A8">
        <w:rPr>
          <w:rFonts w:asciiTheme="minorHAnsi" w:eastAsia="Times New Roman" w:hAnsiTheme="minorHAnsi" w:cstheme="minorHAnsi"/>
          <w:sz w:val="24"/>
          <w:szCs w:val="24"/>
        </w:rPr>
        <w:t>Modalità di presentazione dell’offerta e sottoscrizione dei documenti di gara</w:t>
      </w:r>
      <w:bookmarkEnd w:id="120"/>
      <w:bookmarkEnd w:id="121"/>
      <w:bookmarkEnd w:id="122"/>
    </w:p>
    <w:p w14:paraId="58622BAB" w14:textId="5BCA15D1" w:rsidR="00B23953"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23" w:name="_heading=h.37m2jsg" w:colFirst="0" w:colLast="0"/>
      <w:bookmarkEnd w:id="123"/>
      <w:r w:rsidRPr="00AF38A8">
        <w:rPr>
          <w:rFonts w:asciiTheme="minorHAnsi" w:eastAsia="Times New Roman" w:hAnsiTheme="minorHAnsi" w:cstheme="minorHAnsi"/>
          <w:sz w:val="24"/>
          <w:szCs w:val="24"/>
        </w:rPr>
        <w:t xml:space="preserve">L’offerta e la documentazione relativa alla procedura devono essere presentate esclusivamente attraverso la Piattaforma. Non sono considerate valide le offerte presentate attraverso modalità diverse da quelle previste </w:t>
      </w:r>
      <w:r w:rsidR="003874CD" w:rsidRPr="00AF38A8">
        <w:rPr>
          <w:rFonts w:asciiTheme="minorHAnsi" w:eastAsia="Times New Roman" w:hAnsiTheme="minorHAnsi" w:cstheme="minorHAnsi"/>
          <w:sz w:val="24"/>
          <w:szCs w:val="24"/>
        </w:rPr>
        <w:t>nel</w:t>
      </w:r>
      <w:r w:rsidR="009E6219" w:rsidRPr="00AF38A8">
        <w:rPr>
          <w:rFonts w:asciiTheme="minorHAnsi" w:eastAsia="Times New Roman" w:hAnsiTheme="minorHAnsi" w:cstheme="minorHAnsi"/>
          <w:sz w:val="24"/>
          <w:szCs w:val="24"/>
        </w:rPr>
        <w:t>la</w:t>
      </w:r>
      <w:r w:rsidRPr="00AF38A8">
        <w:rPr>
          <w:rFonts w:asciiTheme="minorHAnsi" w:eastAsia="Times New Roman" w:hAnsiTheme="minorHAnsi" w:cstheme="minorHAnsi"/>
          <w:sz w:val="24"/>
          <w:szCs w:val="24"/>
        </w:rPr>
        <w:t xml:space="preserve"> presente </w:t>
      </w:r>
      <w:r w:rsidR="009E6219" w:rsidRPr="00AF38A8">
        <w:rPr>
          <w:rFonts w:asciiTheme="minorHAnsi" w:eastAsia="Times New Roman" w:hAnsiTheme="minorHAnsi" w:cstheme="minorHAnsi"/>
          <w:sz w:val="24"/>
          <w:szCs w:val="24"/>
        </w:rPr>
        <w:t>lettera di invito.</w:t>
      </w:r>
      <w:r w:rsidRPr="00AF38A8">
        <w:rPr>
          <w:rFonts w:asciiTheme="minorHAnsi" w:eastAsia="Times New Roman" w:hAnsiTheme="minorHAnsi" w:cstheme="minorHAnsi"/>
          <w:sz w:val="24"/>
          <w:szCs w:val="24"/>
        </w:rPr>
        <w:t xml:space="preserve"> </w:t>
      </w:r>
    </w:p>
    <w:p w14:paraId="0C69B63A" w14:textId="626F06BB"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L’offerta [</w:t>
      </w:r>
      <w:r w:rsidRPr="00AF38A8">
        <w:rPr>
          <w:rFonts w:asciiTheme="minorHAnsi" w:eastAsia="Times New Roman" w:hAnsiTheme="minorHAnsi" w:cstheme="minorHAnsi"/>
          <w:i/>
          <w:sz w:val="24"/>
          <w:szCs w:val="24"/>
        </w:rPr>
        <w:t>ove richiesto aggiungere “e la documentazione”</w:t>
      </w:r>
      <w:r w:rsidRPr="00AF38A8">
        <w:rPr>
          <w:rFonts w:asciiTheme="minorHAnsi" w:eastAsia="Times New Roman" w:hAnsiTheme="minorHAnsi" w:cstheme="minorHAnsi"/>
          <w:sz w:val="24"/>
          <w:szCs w:val="24"/>
        </w:rPr>
        <w:t>] deve essere sottoscritta con firma digitale o altra firma elettronica qualificata o firma elettronica avanzata.</w:t>
      </w:r>
    </w:p>
    <w:p w14:paraId="4E808671"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dichiarazioni sostitutive si redigono ai sensi degli articoli 19, 46 e 47 del decreto del Presidente della Repubblica n. 445/2000.</w:t>
      </w:r>
    </w:p>
    <w:p w14:paraId="33B27FCF" w14:textId="237595B6"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documentazione presentata in copia viene prodotta ai sensi del decreto legislativo n. 82/</w:t>
      </w:r>
      <w:r w:rsidR="00B23953">
        <w:rPr>
          <w:rFonts w:asciiTheme="minorHAnsi" w:eastAsia="Times New Roman" w:hAnsiTheme="minorHAnsi" w:cstheme="minorHAnsi"/>
          <w:sz w:val="24"/>
          <w:szCs w:val="24"/>
        </w:rPr>
        <w:t>20</w:t>
      </w:r>
      <w:r w:rsidRPr="00AF38A8">
        <w:rPr>
          <w:rFonts w:asciiTheme="minorHAnsi" w:eastAsia="Times New Roman" w:hAnsiTheme="minorHAnsi" w:cstheme="minorHAnsi"/>
          <w:sz w:val="24"/>
          <w:szCs w:val="24"/>
        </w:rPr>
        <w:t>05.</w:t>
      </w:r>
    </w:p>
    <w:p w14:paraId="61DDEB1C"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In caso di richiesta di campioni o altri documenti cartacei non altrimenti acquisibili</w:t>
      </w:r>
      <w:r w:rsidRPr="00AF38A8">
        <w:rPr>
          <w:rFonts w:asciiTheme="minorHAnsi" w:eastAsia="Times New Roman" w:hAnsiTheme="minorHAnsi" w:cstheme="minorHAnsi"/>
          <w:sz w:val="24"/>
          <w:szCs w:val="24"/>
        </w:rPr>
        <w:t>] I campioni [</w:t>
      </w:r>
      <w:r w:rsidRPr="00AF38A8">
        <w:rPr>
          <w:rFonts w:asciiTheme="minorHAnsi" w:eastAsia="Times New Roman" w:hAnsiTheme="minorHAnsi" w:cstheme="minorHAnsi"/>
          <w:i/>
          <w:sz w:val="24"/>
          <w:szCs w:val="24"/>
        </w:rPr>
        <w:t>e i documenti cartacei non altrimenti acquisibili, specificare quali</w:t>
      </w:r>
      <w:r w:rsidRPr="00AF38A8">
        <w:rPr>
          <w:rFonts w:asciiTheme="minorHAnsi" w:eastAsia="Times New Roman" w:hAnsiTheme="minorHAnsi" w:cstheme="minorHAnsi"/>
          <w:sz w:val="24"/>
          <w:szCs w:val="24"/>
        </w:rPr>
        <w:t xml:space="preserve">] devono essere trasmessi al seguente indirizzo: … </w:t>
      </w:r>
      <w:r w:rsidRPr="00AF38A8">
        <w:rPr>
          <w:rFonts w:asciiTheme="minorHAnsi" w:eastAsia="Times New Roman" w:hAnsiTheme="minorHAnsi" w:cstheme="minorHAnsi"/>
          <w:i/>
          <w:sz w:val="24"/>
          <w:szCs w:val="24"/>
        </w:rPr>
        <w:t>[indicare l’indirizzo].</w:t>
      </w:r>
    </w:p>
    <w:p w14:paraId="199172E2"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L’offerta deve pervenire entro e non oltre le ore … [</w:t>
      </w:r>
      <w:r w:rsidRPr="00AF38A8">
        <w:rPr>
          <w:rFonts w:asciiTheme="minorHAnsi" w:eastAsia="Times New Roman" w:hAnsiTheme="minorHAnsi" w:cstheme="minorHAnsi"/>
          <w:i/>
          <w:sz w:val="24"/>
          <w:szCs w:val="24"/>
        </w:rPr>
        <w:t>indicare</w:t>
      </w:r>
      <w:r w:rsidRPr="00AF38A8">
        <w:rPr>
          <w:rFonts w:asciiTheme="minorHAnsi" w:eastAsia="Times New Roman" w:hAnsiTheme="minorHAnsi" w:cstheme="minorHAnsi"/>
          <w:sz w:val="24"/>
          <w:szCs w:val="24"/>
        </w:rPr>
        <w:t>] del giorno … [</w:t>
      </w:r>
      <w:r w:rsidRPr="00AF38A8">
        <w:rPr>
          <w:rFonts w:asciiTheme="minorHAnsi" w:eastAsia="Times New Roman" w:hAnsiTheme="minorHAnsi" w:cstheme="minorHAnsi"/>
          <w:i/>
          <w:sz w:val="24"/>
          <w:szCs w:val="24"/>
        </w:rPr>
        <w:t>indicare</w:t>
      </w:r>
      <w:r w:rsidRPr="00AF38A8">
        <w:rPr>
          <w:rFonts w:asciiTheme="minorHAnsi" w:eastAsia="Times New Roman" w:hAnsiTheme="minorHAnsi" w:cstheme="minorHAnsi"/>
          <w:sz w:val="24"/>
          <w:szCs w:val="24"/>
        </w:rPr>
        <w:t>] a pena di irricevibilità. La Piattaforma non accetta offerte presentate dopo la data e l’orario stabiliti come termine ultimo di presentazione dell’offerta.</w:t>
      </w:r>
    </w:p>
    <w:p w14:paraId="7BF0F62E"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l’individuazione di data e ora di arrivo dell’offerta fa fede l’orario registrato dalla Piattaforma.</w:t>
      </w:r>
    </w:p>
    <w:p w14:paraId="7CA04516" w14:textId="77777777" w:rsidR="0076366E" w:rsidRPr="00BA3D2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dell’offerta entro il termine previsto.</w:t>
      </w:r>
    </w:p>
    <w:p w14:paraId="00E451F3" w14:textId="77777777" w:rsidR="0076366E" w:rsidRPr="00BA3D2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 xml:space="preserve">Qualora si verifichi un mancato funzionamento o un malfunzionamento della Piattaforma si applica quanto previsto al paragrafo </w:t>
      </w:r>
    </w:p>
    <w:p w14:paraId="52288DF9" w14:textId="77777777" w:rsidR="0076366E" w:rsidRPr="00BA3D2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Ogni operatore economico per la presentazione dell’offerta ha a disposizione una capacità pari alla dimensione massima di … [</w:t>
      </w:r>
      <w:r w:rsidRPr="00BA3D28">
        <w:rPr>
          <w:rFonts w:asciiTheme="minorHAnsi" w:eastAsia="Times New Roman" w:hAnsiTheme="minorHAnsi" w:cstheme="minorHAnsi"/>
          <w:i/>
          <w:sz w:val="24"/>
          <w:szCs w:val="24"/>
        </w:rPr>
        <w:t>indicare il numero e l’unità di misura</w:t>
      </w:r>
      <w:r w:rsidRPr="00BA3D28">
        <w:rPr>
          <w:rFonts w:asciiTheme="minorHAnsi" w:eastAsia="Times New Roman" w:hAnsiTheme="minorHAnsi" w:cstheme="minorHAnsi"/>
          <w:sz w:val="24"/>
          <w:szCs w:val="24"/>
        </w:rPr>
        <w:t>] per singolo file. La Piattaforma accetta esclusivamente files con i seguenti formati … [</w:t>
      </w:r>
      <w:r w:rsidRPr="00BA3D28">
        <w:rPr>
          <w:rFonts w:asciiTheme="minorHAnsi" w:eastAsia="Times New Roman" w:hAnsiTheme="minorHAnsi" w:cstheme="minorHAnsi"/>
          <w:i/>
          <w:sz w:val="24"/>
          <w:szCs w:val="24"/>
        </w:rPr>
        <w:t xml:space="preserve">indicare i formati dei files che possono essere </w:t>
      </w:r>
      <w:r w:rsidRPr="00BA3D28">
        <w:rPr>
          <w:rFonts w:asciiTheme="minorHAnsi" w:eastAsia="Times New Roman" w:hAnsiTheme="minorHAnsi" w:cstheme="minorHAnsi"/>
          <w:i/>
          <w:sz w:val="24"/>
          <w:szCs w:val="24"/>
        </w:rPr>
        <w:lastRenderedPageBreak/>
        <w:t>caricati nella Piattaforma</w:t>
      </w:r>
      <w:r w:rsidRPr="00BA3D28">
        <w:rPr>
          <w:rFonts w:asciiTheme="minorHAnsi" w:eastAsia="Times New Roman" w:hAnsiTheme="minorHAnsi" w:cstheme="minorHAnsi"/>
          <w:sz w:val="24"/>
          <w:szCs w:val="24"/>
        </w:rPr>
        <w:t>]</w:t>
      </w:r>
    </w:p>
    <w:p w14:paraId="611A7FBD" w14:textId="2B874EBC" w:rsidR="0076366E" w:rsidRPr="00AF38A8" w:rsidRDefault="0076366E" w:rsidP="00BD1359">
      <w:pPr>
        <w:spacing w:line="276" w:lineRule="auto"/>
        <w:rPr>
          <w:rFonts w:asciiTheme="minorHAnsi" w:eastAsia="Times New Roman" w:hAnsiTheme="minorHAnsi" w:cstheme="minorHAnsi"/>
          <w:sz w:val="24"/>
          <w:szCs w:val="24"/>
        </w:rPr>
      </w:pPr>
    </w:p>
    <w:p w14:paraId="50A35C29" w14:textId="77777777" w:rsidR="0076366E"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bookmarkStart w:id="124" w:name="_Toc139277041"/>
      <w:bookmarkStart w:id="125" w:name="_Toc140929836"/>
      <w:bookmarkStart w:id="126" w:name="_Toc141027278"/>
      <w:r w:rsidRPr="00AF38A8">
        <w:rPr>
          <w:rFonts w:asciiTheme="minorHAnsi" w:eastAsia="Times New Roman" w:hAnsiTheme="minorHAnsi" w:cstheme="minorHAnsi"/>
          <w:sz w:val="24"/>
          <w:szCs w:val="24"/>
        </w:rPr>
        <w:t>Regole per la presentazione dell’offerta</w:t>
      </w:r>
      <w:bookmarkEnd w:id="124"/>
      <w:bookmarkEnd w:id="125"/>
      <w:bookmarkEnd w:id="126"/>
    </w:p>
    <w:p w14:paraId="09BF7C93" w14:textId="2621B05F" w:rsidR="00B87C99" w:rsidRPr="00AF38A8" w:rsidRDefault="00BA3D28" w:rsidP="00B87C9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Facoltativo</w:t>
      </w:r>
      <w:r w:rsidRPr="00AF38A8">
        <w:rPr>
          <w:rFonts w:asciiTheme="minorHAnsi" w:eastAsia="Times New Roman" w:hAnsiTheme="minorHAnsi" w:cstheme="minorHAnsi"/>
          <w:sz w:val="24"/>
          <w:szCs w:val="24"/>
        </w:rPr>
        <w:t xml:space="preserve">] </w:t>
      </w:r>
      <w:r w:rsidR="00B87C99" w:rsidRPr="00AF38A8">
        <w:rPr>
          <w:rFonts w:asciiTheme="minorHAnsi" w:eastAsia="Times New Roman" w:hAnsiTheme="minorHAnsi" w:cstheme="minorHAnsi"/>
          <w:sz w:val="24"/>
          <w:szCs w:val="24"/>
        </w:rPr>
        <w:t>Ferm</w:t>
      </w:r>
      <w:r w:rsidR="00B87C99">
        <w:rPr>
          <w:rFonts w:asciiTheme="minorHAnsi" w:eastAsia="Times New Roman" w:hAnsiTheme="minorHAnsi" w:cstheme="minorHAnsi"/>
          <w:sz w:val="24"/>
          <w:szCs w:val="24"/>
        </w:rPr>
        <w:t>e</w:t>
      </w:r>
      <w:r w:rsidR="00B87C99" w:rsidRPr="00AF38A8">
        <w:rPr>
          <w:rFonts w:asciiTheme="minorHAnsi" w:eastAsia="Times New Roman" w:hAnsiTheme="minorHAnsi" w:cstheme="minorHAnsi"/>
          <w:sz w:val="24"/>
          <w:szCs w:val="24"/>
        </w:rPr>
        <w:t xml:space="preserve"> restando le indicazioni tecniche riportate </w:t>
      </w:r>
      <w:r w:rsidR="00B87C99">
        <w:rPr>
          <w:rFonts w:asciiTheme="minorHAnsi" w:eastAsia="Times New Roman" w:hAnsiTheme="minorHAnsi" w:cstheme="minorHAnsi"/>
          <w:sz w:val="24"/>
          <w:szCs w:val="24"/>
        </w:rPr>
        <w:t xml:space="preserve">nella presente di invito </w:t>
      </w:r>
      <w:r w:rsidR="00B87C99" w:rsidRPr="00AF38A8">
        <w:rPr>
          <w:rFonts w:asciiTheme="minorHAnsi" w:eastAsia="Times New Roman" w:hAnsiTheme="minorHAnsi" w:cstheme="minorHAnsi"/>
          <w:sz w:val="24"/>
          <w:szCs w:val="24"/>
        </w:rPr>
        <w:t>e nel … [</w:t>
      </w:r>
      <w:r w:rsidR="00B87C99" w:rsidRPr="00AF38A8">
        <w:rPr>
          <w:rFonts w:asciiTheme="minorHAnsi" w:eastAsia="Times New Roman" w:hAnsiTheme="minorHAnsi" w:cstheme="minorHAnsi"/>
          <w:i/>
          <w:sz w:val="24"/>
          <w:szCs w:val="24"/>
        </w:rPr>
        <w:t>la SA indica il disciplinare telematico o altro documento tecnico</w:t>
      </w:r>
      <w:r w:rsidR="00B87C99" w:rsidRPr="00AF38A8">
        <w:rPr>
          <w:rFonts w:asciiTheme="minorHAnsi" w:eastAsia="Times New Roman" w:hAnsiTheme="minorHAnsi" w:cstheme="minorHAnsi"/>
          <w:sz w:val="24"/>
          <w:szCs w:val="24"/>
        </w:rPr>
        <w:t>] di seguito sono indicate le modalità di caricamento dell’offerta nella Piattaforma.</w:t>
      </w:r>
    </w:p>
    <w:p w14:paraId="121AB86C" w14:textId="77777777" w:rsidR="00B87C99" w:rsidRPr="00AF38A8" w:rsidRDefault="00B87C99" w:rsidP="00B87C9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 xml:space="preserve">La </w:t>
      </w:r>
      <w:r w:rsidRPr="00AF38A8">
        <w:rPr>
          <w:rFonts w:asciiTheme="minorHAnsi" w:eastAsia="Titillium" w:hAnsiTheme="minorHAnsi" w:cstheme="minorHAnsi"/>
          <w:i/>
          <w:sz w:val="24"/>
          <w:szCs w:val="24"/>
        </w:rPr>
        <w:t>stazione appaltante</w:t>
      </w:r>
      <w:r w:rsidRPr="00AF38A8">
        <w:rPr>
          <w:rFonts w:asciiTheme="minorHAnsi" w:eastAsia="Times New Roman" w:hAnsiTheme="minorHAnsi" w:cstheme="minorHAnsi"/>
          <w:i/>
          <w:sz w:val="24"/>
          <w:szCs w:val="24"/>
        </w:rPr>
        <w:t xml:space="preserve"> indica le regole di utilizzo della Piattaforma che non sono indicate nel disciplinare telematico</w:t>
      </w:r>
      <w:r w:rsidRPr="00AF38A8">
        <w:rPr>
          <w:rFonts w:asciiTheme="minorHAnsi" w:eastAsia="Times New Roman" w:hAnsiTheme="minorHAnsi" w:cstheme="minorHAnsi"/>
          <w:sz w:val="24"/>
          <w:szCs w:val="24"/>
        </w:rPr>
        <w:t>]</w:t>
      </w:r>
    </w:p>
    <w:p w14:paraId="335ABB5E" w14:textId="77777777" w:rsidR="0076366E" w:rsidRPr="00AF38A8" w:rsidRDefault="0076366E" w:rsidP="00BD1359">
      <w:pPr>
        <w:spacing w:line="276" w:lineRule="auto"/>
        <w:rPr>
          <w:rFonts w:asciiTheme="minorHAnsi" w:eastAsia="Times New Roman" w:hAnsiTheme="minorHAnsi" w:cstheme="minorHAnsi"/>
          <w:sz w:val="24"/>
          <w:szCs w:val="24"/>
        </w:rPr>
      </w:pPr>
    </w:p>
    <w:p w14:paraId="3AD2E38F"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L’“OFFERTA” è composta da:</w:t>
      </w:r>
    </w:p>
    <w:p w14:paraId="4770B9B1"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 – Documentazione amministrativa;</w:t>
      </w:r>
    </w:p>
    <w:p w14:paraId="4A90A5D9"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B – Offerta tecnica [</w:t>
      </w:r>
      <w:r w:rsidRPr="00AF38A8">
        <w:rPr>
          <w:rFonts w:asciiTheme="minorHAnsi" w:eastAsia="Times New Roman" w:hAnsiTheme="minorHAnsi" w:cstheme="minorHAnsi"/>
          <w:i/>
          <w:sz w:val="24"/>
          <w:szCs w:val="24"/>
        </w:rPr>
        <w:t>in caso di divisione in Lotti: una per ogni Lotto per il quale si intende partecipare</w:t>
      </w:r>
      <w:r w:rsidRPr="00AF38A8">
        <w:rPr>
          <w:rFonts w:asciiTheme="minorHAnsi" w:eastAsia="Times New Roman" w:hAnsiTheme="minorHAnsi" w:cstheme="minorHAnsi"/>
          <w:sz w:val="24"/>
          <w:szCs w:val="24"/>
        </w:rPr>
        <w:t>];</w:t>
      </w:r>
    </w:p>
    <w:p w14:paraId="28A777C2" w14:textId="3DD27DF4"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 – Offerta economica [</w:t>
      </w:r>
      <w:r w:rsidRPr="00AF38A8">
        <w:rPr>
          <w:rFonts w:asciiTheme="minorHAnsi" w:eastAsia="Times New Roman" w:hAnsiTheme="minorHAnsi" w:cstheme="minorHAnsi"/>
          <w:i/>
          <w:sz w:val="24"/>
          <w:szCs w:val="24"/>
        </w:rPr>
        <w:t>in caso di divisione in Lotti: una per ogni Lotto per il quale si intende partecipare</w:t>
      </w:r>
      <w:r w:rsidRPr="00AF38A8">
        <w:rPr>
          <w:rFonts w:asciiTheme="minorHAnsi" w:eastAsia="Times New Roman" w:hAnsiTheme="minorHAnsi" w:cstheme="minorHAnsi"/>
          <w:sz w:val="24"/>
          <w:szCs w:val="24"/>
        </w:rPr>
        <w:t>].</w:t>
      </w:r>
    </w:p>
    <w:p w14:paraId="3BAA2285" w14:textId="3CD294CD"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L’operatore economico ha facoltà di inserire nella Piattaforma offerte successive che sostituiscono la precedente, ovvero ritirare l’offerta presentata, nel periodo di tempo compreso tra la data e ora di inizio e la data e ora di chiusura della fase di presentazione delle offerte. La stazione appaltante considera esclusivamente l’ultima offerta presentata.</w:t>
      </w:r>
    </w:p>
    <w:p w14:paraId="08FB2861"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Si precisa inoltre che:</w:t>
      </w:r>
    </w:p>
    <w:p w14:paraId="2648BF79" w14:textId="77777777" w:rsidR="0076366E" w:rsidRPr="00AF38A8" w:rsidRDefault="00BA3D28" w:rsidP="00BD1359">
      <w:pPr>
        <w:numPr>
          <w:ilvl w:val="0"/>
          <w:numId w:val="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l’offerta è vincolante per il concorrente;</w:t>
      </w:r>
    </w:p>
    <w:p w14:paraId="4FE63B34" w14:textId="77777777" w:rsidR="0076366E" w:rsidRPr="00AF38A8" w:rsidRDefault="00BA3D28" w:rsidP="00BD1359">
      <w:pPr>
        <w:numPr>
          <w:ilvl w:val="0"/>
          <w:numId w:val="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con la trasmissione dell’offerta, il concorrente accetta tutta la documentazione di gara, allegati e chiarimenti inclusi.</w:t>
      </w:r>
    </w:p>
    <w:p w14:paraId="78DB7A39" w14:textId="77777777" w:rsidR="0076366E" w:rsidRPr="00BA3D2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Al momento della ricezione delle offerte, ciascun concorrente riceve notifica del corretto recepimento della documentazione inviata [</w:t>
      </w:r>
      <w:r w:rsidRPr="009E3F27">
        <w:rPr>
          <w:rFonts w:asciiTheme="minorHAnsi" w:eastAsia="Times New Roman" w:hAnsiTheme="minorHAnsi" w:cstheme="minorHAnsi"/>
          <w:i/>
          <w:sz w:val="24"/>
          <w:szCs w:val="24"/>
        </w:rPr>
        <w:t>eventuale, mediante … specificare in che modo</w:t>
      </w:r>
      <w:r w:rsidRPr="00BA3D28">
        <w:rPr>
          <w:rFonts w:asciiTheme="minorHAnsi" w:eastAsia="Times New Roman" w:hAnsiTheme="minorHAnsi" w:cstheme="minorHAnsi"/>
          <w:sz w:val="24"/>
          <w:szCs w:val="24"/>
        </w:rPr>
        <w:t>].</w:t>
      </w:r>
    </w:p>
    <w:p w14:paraId="16ECD02D" w14:textId="77777777" w:rsidR="0076366E" w:rsidRPr="00BA3D2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La Piattaforma consente al concorrente di visualizzare l’avvenuta trasmissione della domanda.</w:t>
      </w:r>
    </w:p>
    <w:p w14:paraId="7347A545"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concorrente che intenda partecipare in forma associata (</w:t>
      </w:r>
      <w:r w:rsidRPr="00AF38A8">
        <w:rPr>
          <w:rFonts w:asciiTheme="minorHAnsi" w:eastAsia="Times New Roman" w:hAnsiTheme="minorHAnsi" w:cstheme="minorHAnsi"/>
          <w:i/>
          <w:sz w:val="24"/>
          <w:szCs w:val="24"/>
        </w:rPr>
        <w:t>per esempio raggruppamento temporaneo di imprese/Consorzi, sia costituiti che costituendi</w:t>
      </w:r>
      <w:r w:rsidRPr="00AF38A8">
        <w:rPr>
          <w:rFonts w:asciiTheme="minorHAnsi" w:eastAsia="Times New Roman" w:hAnsiTheme="minorHAnsi" w:cstheme="minorHAnsi"/>
          <w:sz w:val="24"/>
          <w:szCs w:val="24"/>
        </w:rPr>
        <w:t>) in sede di presentazione dell’offerta indica la forma di partecipazione e indica gli operatori economici riuniti o consorziati.</w:t>
      </w:r>
    </w:p>
    <w:p w14:paraId="15FAFE61" w14:textId="77777777" w:rsidR="0076366E" w:rsidRPr="008E62E0"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sz w:val="24"/>
          <w:szCs w:val="24"/>
        </w:rPr>
        <w:t>Facoltativo</w:t>
      </w:r>
      <w:r w:rsidRPr="00BA3D28">
        <w:rPr>
          <w:rFonts w:asciiTheme="minorHAnsi" w:eastAsia="Times New Roman" w:hAnsiTheme="minorHAnsi" w:cstheme="minorHAnsi"/>
          <w:sz w:val="24"/>
          <w:szCs w:val="24"/>
        </w:rPr>
        <w:t>] Le dichiarazioni ... [</w:t>
      </w:r>
      <w:r w:rsidRPr="00BA3D28">
        <w:rPr>
          <w:rFonts w:asciiTheme="minorHAnsi" w:eastAsia="Times New Roman" w:hAnsiTheme="minorHAnsi" w:cstheme="minorHAnsi"/>
          <w:i/>
          <w:sz w:val="24"/>
          <w:szCs w:val="24"/>
        </w:rPr>
        <w:t>specificare quali</w:t>
      </w:r>
      <w:r w:rsidRPr="00BA3D28">
        <w:rPr>
          <w:rFonts w:asciiTheme="minorHAnsi" w:eastAsia="Times New Roman" w:hAnsiTheme="minorHAnsi" w:cstheme="minorHAnsi"/>
          <w:sz w:val="24"/>
          <w:szCs w:val="24"/>
        </w:rPr>
        <w:t>] sono redatte sui modelli predisposti e messi a disposizione nella Piattaforma [</w:t>
      </w:r>
      <w:r w:rsidRPr="00BA3D28">
        <w:rPr>
          <w:rFonts w:asciiTheme="minorHAnsi" w:eastAsia="Times New Roman" w:hAnsiTheme="minorHAnsi" w:cstheme="minorHAnsi"/>
          <w:i/>
          <w:sz w:val="24"/>
          <w:szCs w:val="24"/>
        </w:rPr>
        <w:t>eventualmente indicare il link dove si può prendere visione delle dichiarazioni. In alternativa</w:t>
      </w:r>
      <w:r w:rsidRPr="008E62E0">
        <w:rPr>
          <w:rFonts w:asciiTheme="minorHAnsi" w:eastAsia="Times New Roman" w:hAnsiTheme="minorHAnsi" w:cstheme="minorHAnsi"/>
          <w:i/>
          <w:sz w:val="24"/>
          <w:szCs w:val="24"/>
        </w:rPr>
        <w:t>: indicare “sono compilate online</w:t>
      </w:r>
      <w:r w:rsidRPr="008E62E0">
        <w:rPr>
          <w:rFonts w:asciiTheme="minorHAnsi" w:eastAsia="Times New Roman" w:hAnsiTheme="minorHAnsi" w:cstheme="minorHAnsi"/>
          <w:sz w:val="24"/>
          <w:szCs w:val="24"/>
        </w:rPr>
        <w:t>”].</w:t>
      </w:r>
    </w:p>
    <w:p w14:paraId="58FD9346" w14:textId="77777777" w:rsidR="0076366E" w:rsidRPr="00BA3D2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8E62E0">
        <w:rPr>
          <w:rFonts w:asciiTheme="minorHAnsi" w:eastAsia="Times New Roman" w:hAnsiTheme="minorHAnsi" w:cstheme="minorHAnsi"/>
          <w:sz w:val="24"/>
          <w:szCs w:val="24"/>
        </w:rPr>
        <w:t>Tutta la documentazione da produrre mediante inserimento nel Fascicolo virtuale deve essere in lingua italiana. [</w:t>
      </w:r>
      <w:r w:rsidRPr="008E62E0">
        <w:rPr>
          <w:rFonts w:asciiTheme="minorHAnsi" w:eastAsia="Times New Roman" w:hAnsiTheme="minorHAnsi" w:cstheme="minorHAnsi"/>
          <w:i/>
          <w:sz w:val="24"/>
          <w:szCs w:val="24"/>
        </w:rPr>
        <w:t>In alternativa in caso di bilinguismo</w:t>
      </w:r>
      <w:r w:rsidRPr="008E62E0">
        <w:rPr>
          <w:rFonts w:asciiTheme="minorHAnsi" w:eastAsia="Times New Roman" w:hAnsiTheme="minorHAnsi" w:cstheme="minorHAnsi"/>
          <w:sz w:val="24"/>
          <w:szCs w:val="24"/>
        </w:rPr>
        <w:t>] Tutta la documentazione da produrre mediante inserimento nel Fascicolo virtuale deve</w:t>
      </w:r>
      <w:r w:rsidRPr="00BA3D28">
        <w:rPr>
          <w:rFonts w:asciiTheme="minorHAnsi" w:eastAsia="Times New Roman" w:hAnsiTheme="minorHAnsi" w:cstheme="minorHAnsi"/>
          <w:sz w:val="24"/>
          <w:szCs w:val="24"/>
        </w:rPr>
        <w:t xml:space="preserve"> essere in lingua italiana [</w:t>
      </w:r>
      <w:r w:rsidRPr="00BA3D28">
        <w:rPr>
          <w:rFonts w:asciiTheme="minorHAnsi" w:eastAsia="Times New Roman" w:hAnsiTheme="minorHAnsi" w:cstheme="minorHAnsi"/>
          <w:i/>
          <w:sz w:val="24"/>
          <w:szCs w:val="24"/>
        </w:rPr>
        <w:t>e, o specificare</w:t>
      </w:r>
      <w:r w:rsidRPr="00BA3D28">
        <w:rPr>
          <w:rFonts w:asciiTheme="minorHAnsi" w:eastAsia="Times New Roman" w:hAnsiTheme="minorHAnsi" w:cstheme="minorHAnsi"/>
          <w:sz w:val="24"/>
          <w:szCs w:val="24"/>
        </w:rPr>
        <w:t>] … [</w:t>
      </w:r>
      <w:r w:rsidRPr="00BA3D28">
        <w:rPr>
          <w:rFonts w:asciiTheme="minorHAnsi" w:eastAsia="Times New Roman" w:hAnsiTheme="minorHAnsi" w:cstheme="minorHAnsi"/>
          <w:i/>
          <w:sz w:val="24"/>
          <w:szCs w:val="24"/>
        </w:rPr>
        <w:t>indicare l’altra lingua</w:t>
      </w:r>
      <w:r w:rsidRPr="00BA3D28">
        <w:rPr>
          <w:rFonts w:asciiTheme="minorHAnsi" w:eastAsia="Times New Roman" w:hAnsiTheme="minorHAnsi" w:cstheme="minorHAnsi"/>
          <w:sz w:val="24"/>
          <w:szCs w:val="24"/>
        </w:rPr>
        <w:t>].</w:t>
      </w:r>
    </w:p>
    <w:p w14:paraId="1307BB93" w14:textId="77777777" w:rsidR="0076366E" w:rsidRPr="00BA3D2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9E3F27">
        <w:rPr>
          <w:rFonts w:asciiTheme="minorHAnsi" w:eastAsia="Titillium" w:hAnsiTheme="minorHAnsi" w:cstheme="minorHAnsi"/>
          <w:b/>
          <w:i/>
          <w:sz w:val="24"/>
          <w:szCs w:val="24"/>
        </w:rPr>
        <w:t>[In alternativa]</w:t>
      </w:r>
      <w:r w:rsidRPr="009E3F27">
        <w:rPr>
          <w:rFonts w:asciiTheme="minorHAnsi" w:eastAsia="Titillium" w:hAnsiTheme="minorHAnsi" w:cstheme="minorHAnsi"/>
          <w:sz w:val="24"/>
          <w:szCs w:val="24"/>
        </w:rPr>
        <w:t xml:space="preserve"> </w:t>
      </w:r>
      <w:r w:rsidRPr="009E3F27">
        <w:rPr>
          <w:rFonts w:asciiTheme="minorHAnsi" w:eastAsia="Times New Roman" w:hAnsiTheme="minorHAnsi" w:cstheme="minorHAnsi"/>
          <w:sz w:val="24"/>
          <w:szCs w:val="24"/>
        </w:rPr>
        <w:t>La documentazione da produrre, se redatta in inglese, francese, spagnolo [</w:t>
      </w:r>
      <w:r w:rsidRPr="009E3F27">
        <w:rPr>
          <w:rFonts w:asciiTheme="minorHAnsi" w:eastAsia="Times New Roman" w:hAnsiTheme="minorHAnsi" w:cstheme="minorHAnsi"/>
          <w:i/>
          <w:sz w:val="24"/>
          <w:szCs w:val="24"/>
        </w:rPr>
        <w:t>specificare</w:t>
      </w:r>
      <w:r w:rsidRPr="00BA3D28">
        <w:rPr>
          <w:rFonts w:asciiTheme="minorHAnsi" w:eastAsia="Times New Roman" w:hAnsiTheme="minorHAnsi" w:cstheme="minorHAnsi"/>
          <w:i/>
          <w:sz w:val="24"/>
          <w:szCs w:val="24"/>
        </w:rPr>
        <w:t xml:space="preserve"> eventuali altre lingue conosciute dalla stazione appaltante</w:t>
      </w:r>
      <w:r w:rsidRPr="00BA3D28">
        <w:rPr>
          <w:rFonts w:asciiTheme="minorHAnsi" w:eastAsia="Titillium" w:hAnsiTheme="minorHAnsi" w:cstheme="minorHAnsi"/>
          <w:i/>
          <w:sz w:val="18"/>
          <w:szCs w:val="18"/>
        </w:rPr>
        <w:t>]</w:t>
      </w:r>
      <w:r w:rsidRPr="00BA3D28">
        <w:rPr>
          <w:rFonts w:asciiTheme="minorHAnsi" w:eastAsia="Titillium" w:hAnsiTheme="minorHAnsi" w:cstheme="minorHAnsi"/>
          <w:sz w:val="18"/>
          <w:szCs w:val="18"/>
        </w:rPr>
        <w:t xml:space="preserve"> </w:t>
      </w:r>
      <w:r w:rsidRPr="00CD7ECF">
        <w:rPr>
          <w:rFonts w:asciiTheme="minorHAnsi" w:eastAsia="Times New Roman" w:hAnsiTheme="minorHAnsi" w:cstheme="minorHAnsi"/>
          <w:sz w:val="24"/>
          <w:szCs w:val="24"/>
        </w:rPr>
        <w:t>può essere presentata senza bisogno di traduzione.</w:t>
      </w:r>
      <w:r w:rsidRPr="00BA3D28">
        <w:rPr>
          <w:rFonts w:asciiTheme="minorHAnsi" w:eastAsia="Times New Roman" w:hAnsiTheme="minorHAnsi" w:cstheme="minorHAnsi"/>
          <w:sz w:val="24"/>
          <w:szCs w:val="24"/>
        </w:rPr>
        <w:t xml:space="preserve"> in tutti gli altri casi i documenti devono essere corredati da traduzione giurata in lingua italiana.</w:t>
      </w:r>
    </w:p>
    <w:p w14:paraId="2AB3B365" w14:textId="77777777" w:rsidR="0076366E" w:rsidRPr="00BA3D2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 xml:space="preserve">In caso di mancanza, incompletezza o irregolarità della traduzione della documentazione </w:t>
      </w:r>
      <w:r w:rsidRPr="00BA3D28">
        <w:rPr>
          <w:rFonts w:asciiTheme="minorHAnsi" w:eastAsia="Times New Roman" w:hAnsiTheme="minorHAnsi" w:cstheme="minorHAnsi"/>
          <w:sz w:val="24"/>
          <w:szCs w:val="24"/>
        </w:rPr>
        <w:lastRenderedPageBreak/>
        <w:t>amministrativa, si applica il soccorso istruttorio.</w:t>
      </w:r>
    </w:p>
    <w:p w14:paraId="027620C2"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L’offerta vincola il concorrente per … [</w:t>
      </w:r>
      <w:r w:rsidRPr="00AF38A8">
        <w:rPr>
          <w:rFonts w:asciiTheme="minorHAnsi" w:eastAsia="Times New Roman" w:hAnsiTheme="minorHAnsi" w:cstheme="minorHAnsi"/>
          <w:i/>
          <w:sz w:val="24"/>
          <w:szCs w:val="24"/>
        </w:rPr>
        <w:t>indicare il numero dei giorni pari ad almeno 180 giorni</w:t>
      </w:r>
      <w:r w:rsidRPr="00AF38A8">
        <w:rPr>
          <w:rFonts w:asciiTheme="minorHAnsi" w:eastAsia="Times New Roman" w:hAnsiTheme="minorHAnsi" w:cstheme="minorHAnsi"/>
          <w:sz w:val="24"/>
          <w:szCs w:val="24"/>
        </w:rPr>
        <w:t>] dalla scadenza del termine indicato per la presentazione dell’offerta.</w:t>
      </w:r>
    </w:p>
    <w:p w14:paraId="08D35878"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alla data di scadenza della validità delle offerte le operazioni di gara siano ancora in corso, sarà richiesto agli offerenti di confermare la validità dell’offerta sino alla data indicata e di produrre un apposito documento attestante la validità della garanzia prestata in sede di gara fino alla medesima data.</w:t>
      </w:r>
    </w:p>
    <w:p w14:paraId="2EF5AA98"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mancato riscontro alla richiesta della stazione appaltante entro il termine fissato da quest’ultima o comunque in tempo utile alla celere prosecuzione della procedura è considerato come rinuncia del concorrente alla partecipazione alla gara.</w:t>
      </w:r>
    </w:p>
    <w:p w14:paraId="227E0B6D" w14:textId="764A924E" w:rsidR="001F1932"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Fino al giorno fissato per l’apertura delle offerte, l’operatore economico può effettuare, tramite la Piattaforma, una richiesta di rettifica di un errore materiale contenuto nell’offerta tecnica o nell’offerta economica, di cui si sia avveduto dopo la scadenza del termine per la loro presentazione. A tal fine, richiede alla stazione appaltante di potersi avvalere di tale facoltà. </w:t>
      </w:r>
    </w:p>
    <w:p w14:paraId="4AF5FDFC" w14:textId="77777777" w:rsidR="0076366E" w:rsidRPr="001F1932"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CD7ECF">
        <w:rPr>
          <w:rFonts w:asciiTheme="minorHAnsi" w:eastAsia="Times New Roman" w:hAnsiTheme="minorHAnsi" w:cstheme="minorHAnsi"/>
          <w:sz w:val="24"/>
          <w:szCs w:val="24"/>
        </w:rPr>
        <w:t>A seguito della richiesta, sono comunicate all’operatore economico le modalità e i tempi con cui procedere all’indicazione degli elementi che consentono l’individuazione dell’errore materiale e la sua correzione. La rettifica è operata nel rispetto della segretezza dell’offerta e non può comportare la presentazione di una nuova offerta, né la sua modifica sostanziale.</w:t>
      </w:r>
    </w:p>
    <w:p w14:paraId="51C4EE3C" w14:textId="7FFFFDBC" w:rsidR="0076366E"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CD7ECF">
        <w:rPr>
          <w:rFonts w:asciiTheme="minorHAnsi" w:eastAsia="Times New Roman" w:hAnsiTheme="minorHAnsi" w:cstheme="minorHAnsi"/>
          <w:sz w:val="24"/>
          <w:szCs w:val="24"/>
        </w:rPr>
        <w:t>Se la rettifica è ritenuta non accoglibile perché sostanziale, è valutata la possibilità di dichiarare l’offerta inammissibile.</w:t>
      </w:r>
    </w:p>
    <w:p w14:paraId="76B032FC" w14:textId="77777777" w:rsidR="004A7E59" w:rsidRPr="00AF38A8" w:rsidRDefault="004A7E59"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AF44699"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27" w:name="bookmark=id.46r0co2" w:colFirst="0" w:colLast="0"/>
      <w:bookmarkStart w:id="128" w:name="_Toc139277042"/>
      <w:bookmarkStart w:id="129" w:name="_Toc140929837"/>
      <w:bookmarkStart w:id="130" w:name="_Toc141027279"/>
      <w:bookmarkEnd w:id="127"/>
      <w:r w:rsidRPr="00AF38A8">
        <w:rPr>
          <w:rFonts w:asciiTheme="minorHAnsi" w:eastAsia="Times New Roman" w:hAnsiTheme="minorHAnsi" w:cstheme="minorHAnsi"/>
          <w:sz w:val="24"/>
          <w:szCs w:val="24"/>
        </w:rPr>
        <w:t>Soccorso istruttorio</w:t>
      </w:r>
      <w:bookmarkEnd w:id="128"/>
      <w:bookmarkEnd w:id="129"/>
      <w:bookmarkEnd w:id="130"/>
    </w:p>
    <w:p w14:paraId="3BB61EBF" w14:textId="77777777" w:rsidR="0076366E" w:rsidRPr="00BA3D2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Con la procedura di soccorso istruttorio di cui all’articolo 101 del Codice, possono essere </w:t>
      </w:r>
      <w:r w:rsidRPr="00AF38A8">
        <w:rPr>
          <w:rFonts w:asciiTheme="minorHAnsi" w:eastAsia="Titillium" w:hAnsiTheme="minorHAnsi" w:cstheme="minorHAnsi"/>
          <w:sz w:val="24"/>
          <w:szCs w:val="24"/>
        </w:rPr>
        <w:t xml:space="preserve">sanate </w:t>
      </w:r>
      <w:r w:rsidRPr="00AF38A8">
        <w:rPr>
          <w:rFonts w:asciiTheme="minorHAnsi" w:eastAsia="Times New Roman" w:hAnsiTheme="minorHAnsi" w:cstheme="minorHAnsi"/>
          <w:sz w:val="24"/>
          <w:szCs w:val="24"/>
        </w:rPr>
        <w:t>le carenze della documentazione trasmessa con la domanda di partecipazione ma non quelle della documentazione che compone l’offerta tecnica e l’offerta economica.</w:t>
      </w:r>
      <w:r w:rsidR="00E96DFB">
        <w:rPr>
          <w:rFonts w:asciiTheme="minorHAnsi" w:eastAsia="Times New Roman" w:hAnsiTheme="minorHAnsi" w:cstheme="minorHAnsi"/>
          <w:sz w:val="24"/>
          <w:szCs w:val="24"/>
        </w:rPr>
        <w:t xml:space="preserve"> </w:t>
      </w:r>
    </w:p>
    <w:p w14:paraId="54C65E40" w14:textId="77777777" w:rsidR="0076366E" w:rsidRPr="00BA3D2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Con la medesima procedura può essere sanata ogni omissione, inesattezza o irregolarità della domanda di partecipazione e di ogni altro documento richiesto per la partecipazione alla procedura di gara, con esclusione della documentazione che compone l’offerta tecnica e l’offerta economica. Non sono sanabili le omissioni, le inesattezze e irregolarità che rendono assolutamente incerta l’identità del concorrente.</w:t>
      </w:r>
      <w:r w:rsidRPr="00CD7ECF">
        <w:rPr>
          <w:rFonts w:asciiTheme="minorHAnsi" w:eastAsia="Times New Roman" w:hAnsiTheme="minorHAnsi" w:cstheme="minorHAnsi"/>
          <w:sz w:val="24"/>
          <w:szCs w:val="24"/>
        </w:rPr>
        <w:t xml:space="preserve"> A titolo esemplificativo, si chiarisce che: </w:t>
      </w:r>
    </w:p>
    <w:p w14:paraId="591AA76C" w14:textId="77777777" w:rsidR="0076366E" w:rsidRPr="00BA3D28" w:rsidRDefault="00BA3D28" w:rsidP="00BD1359">
      <w:pPr>
        <w:numPr>
          <w:ilvl w:val="0"/>
          <w:numId w:val="4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il mancato possesso dei prescritti requisiti di partecipazione non è sanabile mediante soccorso istruttorio ed è causa di esclusione dalla procedura di gara;</w:t>
      </w:r>
    </w:p>
    <w:p w14:paraId="6E95C2D5" w14:textId="77777777" w:rsidR="0076366E" w:rsidRPr="00BA3D28" w:rsidRDefault="00BA3D28" w:rsidP="00BD1359">
      <w:pPr>
        <w:numPr>
          <w:ilvl w:val="0"/>
          <w:numId w:val="4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l’omessa o incompleta nonché irregolare presentazione delle dichiarazioni sul possesso dei requisiti di partecipazione e ogni altra mancanza, incompletezza o irregolarità della domanda, sono sanabili, ad eccezione delle false dichiarazioni;</w:t>
      </w:r>
    </w:p>
    <w:p w14:paraId="0260551A" w14:textId="77777777" w:rsidR="0076366E" w:rsidRPr="00BA3D28" w:rsidRDefault="00BA3D28" w:rsidP="00BD1359">
      <w:pPr>
        <w:numPr>
          <w:ilvl w:val="0"/>
          <w:numId w:val="4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la mancata produzione del contratto di avvalimento, della garanzia provvisoria, del mandato collettivo speciale o dell’impegno a conferire mandato collettivo può essere oggetto di soccorso istruttorio solo se i citati documenti sono preesistenti e comprovabili con data certa anteriore al termine di presentazione dell’offerta;</w:t>
      </w:r>
    </w:p>
    <w:p w14:paraId="44AD7354" w14:textId="77777777" w:rsidR="0076366E" w:rsidRDefault="00BA3D28" w:rsidP="00BD1359">
      <w:pPr>
        <w:numPr>
          <w:ilvl w:val="0"/>
          <w:numId w:val="4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 xml:space="preserve">il difetto di sottoscrizione della domanda di partecipazione, delle dichiarazioni richieste e </w:t>
      </w:r>
      <w:r w:rsidRPr="00BA3D28">
        <w:rPr>
          <w:rFonts w:asciiTheme="minorHAnsi" w:eastAsia="Times New Roman" w:hAnsiTheme="minorHAnsi" w:cstheme="minorHAnsi"/>
          <w:sz w:val="24"/>
          <w:szCs w:val="24"/>
        </w:rPr>
        <w:lastRenderedPageBreak/>
        <w:t>dell’offerta è sanabile;</w:t>
      </w:r>
    </w:p>
    <w:p w14:paraId="4D2E2FCA" w14:textId="77777777" w:rsidR="009E3F27" w:rsidRPr="009E3F27" w:rsidRDefault="009E3F27"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9E3F27">
        <w:rPr>
          <w:rFonts w:asciiTheme="minorHAnsi" w:eastAsia="Times New Roman" w:hAnsiTheme="minorHAnsi" w:cstheme="minorHAnsi"/>
          <w:b/>
          <w:i/>
          <w:sz w:val="24"/>
          <w:szCs w:val="24"/>
        </w:rPr>
        <w:t>[facoltativo]</w:t>
      </w:r>
    </w:p>
    <w:p w14:paraId="238BE3AA" w14:textId="77777777" w:rsidR="0076366E" w:rsidRPr="00BA3D28" w:rsidRDefault="0076366E" w:rsidP="00BD1359">
      <w:pPr>
        <w:pBdr>
          <w:top w:val="nil"/>
          <w:left w:val="nil"/>
          <w:bottom w:val="nil"/>
          <w:right w:val="nil"/>
          <w:between w:val="nil"/>
        </w:pBdr>
        <w:spacing w:line="276" w:lineRule="auto"/>
        <w:ind w:left="720"/>
        <w:jc w:val="both"/>
        <w:rPr>
          <w:rFonts w:asciiTheme="minorHAnsi" w:eastAsia="Titillium" w:hAnsiTheme="minorHAnsi" w:cstheme="minorHAnsi"/>
          <w:b/>
          <w:i/>
          <w:sz w:val="18"/>
          <w:szCs w:val="18"/>
        </w:rPr>
      </w:pPr>
    </w:p>
    <w:p w14:paraId="48A9C068" w14:textId="77777777" w:rsidR="0076366E" w:rsidRPr="002B5D71" w:rsidRDefault="00BA3D28"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2B5D71">
        <w:rPr>
          <w:rFonts w:ascii="Titillium" w:hAnsi="Titillium"/>
          <w:i/>
          <w:sz w:val="18"/>
          <w:szCs w:val="18"/>
        </w:rPr>
        <w:t>N.B. l’</w:t>
      </w:r>
      <w:r w:rsidR="002B5D71">
        <w:rPr>
          <w:rFonts w:ascii="Titillium" w:hAnsi="Titillium"/>
          <w:i/>
          <w:sz w:val="18"/>
          <w:szCs w:val="18"/>
        </w:rPr>
        <w:t>O</w:t>
      </w:r>
      <w:r w:rsidRPr="002B5D71">
        <w:rPr>
          <w:rFonts w:ascii="Titillium" w:hAnsi="Titillium"/>
          <w:i/>
          <w:sz w:val="18"/>
          <w:szCs w:val="18"/>
        </w:rPr>
        <w:t xml:space="preserve">rdinanza </w:t>
      </w:r>
      <w:r w:rsidR="002B5D71">
        <w:rPr>
          <w:rFonts w:ascii="Titillium" w:hAnsi="Titillium"/>
          <w:i/>
          <w:sz w:val="18"/>
          <w:szCs w:val="18"/>
        </w:rPr>
        <w:t xml:space="preserve">commissariale </w:t>
      </w:r>
      <w:r w:rsidRPr="002B5D71">
        <w:rPr>
          <w:rFonts w:ascii="Titillium" w:hAnsi="Titillium"/>
          <w:i/>
          <w:sz w:val="18"/>
          <w:szCs w:val="18"/>
        </w:rPr>
        <w:t xml:space="preserve">n. 140 del 30 maggio 2023 “Ulteriori misure per la semplificazione e l’accelerazione della ricostruzione”, dispone per le finalità di accelerazione e semplificazione degli interventi, o per ragioni di estraneità di materia: “non si applicano alla ricostruzione pubblica le seguenti disposizioni del decreto-legge 31 maggio 2021, n. 77: - art. 47, fatta salva </w:t>
      </w:r>
      <w:r w:rsidRPr="002B5D71">
        <w:rPr>
          <w:rFonts w:ascii="Titillium" w:hAnsi="Titillium"/>
          <w:b/>
          <w:i/>
          <w:sz w:val="18"/>
          <w:szCs w:val="18"/>
        </w:rPr>
        <w:t>l’applicabilità facoltativa</w:t>
      </w:r>
      <w:r w:rsidRPr="002B5D71">
        <w:rPr>
          <w:rFonts w:ascii="Titillium" w:hAnsi="Titillium"/>
          <w:i/>
          <w:sz w:val="18"/>
          <w:szCs w:val="18"/>
        </w:rPr>
        <w:t xml:space="preserve"> del quarto comma da parte delle stazioni appaltanti: “pari opportunità e inclusione lavorativa nei contratti pubblici nel PNRR e nel PNC”; 6 - art. 47-bis: “composizione degli organismi pubblici istituiti dal presente decreto”; - art. 53: “semplificazione degli acquisti di beni e servizi informatici strumentali alla realizzazione del PNRR e in materia di procedure di e-procurement e acquisto di beni e servizi informatici”; - art. 55: “misure di semplificazione in materia di istruzione”; - art. 55-bis: “regime transitorio di accesso alla professione di perito industriale”; - art. 56: “disposizioni in materia di semplificazione per l'attuazione dei programmi del Ministero della salute ricompresi nel Piano nazionale di ripresa e resilienza”; - art. 56-bis: “iniziative di elevata utilità sociale nel campo dell'edilizia sanitaria valutabili dall'INAIL”; - art. 56-ter: “misure di semplificazione in materia di agricoltura e pesca”; - art. 56-quater: “modifiche al codice della proprietà industriale, di cui al decreto legislativo 10 febbraio 2005, n. 30””;</w:t>
      </w:r>
    </w:p>
    <w:p w14:paraId="21F2B151" w14:textId="77777777" w:rsidR="00DE5DEC" w:rsidRPr="00BA3D28" w:rsidRDefault="00DE5DEC" w:rsidP="00DE5DEC">
      <w:pPr>
        <w:spacing w:line="276" w:lineRule="auto"/>
        <w:jc w:val="both"/>
        <w:rPr>
          <w:rFonts w:asciiTheme="minorHAnsi" w:eastAsia="Times New Roman" w:hAnsiTheme="minorHAnsi" w:cstheme="minorHAnsi"/>
          <w:b/>
          <w:i/>
          <w:sz w:val="24"/>
          <w:szCs w:val="24"/>
        </w:rPr>
      </w:pPr>
      <w:r w:rsidRPr="00BA3D28">
        <w:rPr>
          <w:rFonts w:asciiTheme="minorHAnsi" w:eastAsia="Times New Roman" w:hAnsiTheme="minorHAnsi" w:cstheme="minorHAnsi"/>
          <w:b/>
          <w:i/>
          <w:sz w:val="24"/>
          <w:szCs w:val="24"/>
        </w:rPr>
        <w:t>[in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77, convertito, con modificazioni, dalla legge 29 luglio 2021, n. 108]</w:t>
      </w:r>
      <w:r w:rsidRPr="00BA3D28">
        <w:rPr>
          <w:rFonts w:asciiTheme="minorHAnsi" w:eastAsia="Times New Roman" w:hAnsiTheme="minorHAnsi" w:cstheme="minorHAnsi"/>
          <w:sz w:val="24"/>
          <w:szCs w:val="24"/>
        </w:rPr>
        <w:t xml:space="preserve"> </w:t>
      </w:r>
    </w:p>
    <w:p w14:paraId="334732D8" w14:textId="77777777" w:rsidR="0076366E" w:rsidRPr="00BA3D28" w:rsidRDefault="0076366E" w:rsidP="00BD1359">
      <w:pPr>
        <w:pBdr>
          <w:top w:val="nil"/>
          <w:left w:val="nil"/>
          <w:bottom w:val="nil"/>
          <w:right w:val="nil"/>
          <w:between w:val="nil"/>
        </w:pBdr>
        <w:spacing w:line="276" w:lineRule="auto"/>
        <w:ind w:left="720"/>
        <w:jc w:val="both"/>
        <w:rPr>
          <w:rFonts w:asciiTheme="minorHAnsi" w:eastAsia="Times New Roman" w:hAnsiTheme="minorHAnsi" w:cstheme="minorHAnsi"/>
          <w:sz w:val="24"/>
          <w:szCs w:val="24"/>
        </w:rPr>
      </w:pPr>
    </w:p>
    <w:p w14:paraId="4D7652DF" w14:textId="67D8687B" w:rsidR="0076366E" w:rsidRPr="00CD7ECF" w:rsidRDefault="00BA3D28" w:rsidP="00BD1359">
      <w:pPr>
        <w:numPr>
          <w:ilvl w:val="0"/>
          <w:numId w:val="4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sono sanabili l’omessa dichiarazione sull’aver assolto agli obblighi di cui alla legge 68/1999</w:t>
      </w:r>
      <w:r w:rsidR="004A7E59">
        <w:rPr>
          <w:rFonts w:asciiTheme="minorHAnsi" w:eastAsia="Times New Roman" w:hAnsiTheme="minorHAnsi" w:cstheme="minorHAnsi"/>
          <w:sz w:val="24"/>
          <w:szCs w:val="24"/>
        </w:rPr>
        <w:t>;</w:t>
      </w:r>
      <w:r w:rsidRPr="00BA3D28">
        <w:rPr>
          <w:rFonts w:asciiTheme="minorHAnsi" w:eastAsia="Times New Roman" w:hAnsiTheme="minorHAnsi" w:cstheme="minorHAnsi"/>
          <w:sz w:val="24"/>
          <w:szCs w:val="24"/>
        </w:rPr>
        <w:t xml:space="preserve"> </w:t>
      </w:r>
    </w:p>
    <w:p w14:paraId="4F561D03" w14:textId="77777777" w:rsidR="0076366E" w:rsidRPr="00BA3D28" w:rsidRDefault="00BA3D28" w:rsidP="00BD1359">
      <w:pPr>
        <w:numPr>
          <w:ilvl w:val="0"/>
          <w:numId w:val="4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non è sanabile mediante soccorso istruttorio l’omesso impegno ad assicurare, in caso di aggiudicazione del contratto, l’assunzione di una quota di occupazione giovanile e femminile di cui al presente bando.</w:t>
      </w:r>
    </w:p>
    <w:p w14:paraId="35A3DA6D" w14:textId="77777777" w:rsidR="0076366E" w:rsidRPr="00BA3D28" w:rsidRDefault="0076366E" w:rsidP="00BD1359">
      <w:pPr>
        <w:tabs>
          <w:tab w:val="left" w:pos="949"/>
        </w:tabs>
        <w:spacing w:line="276" w:lineRule="auto"/>
        <w:ind w:left="587"/>
        <w:jc w:val="both"/>
        <w:rPr>
          <w:rFonts w:asciiTheme="minorHAnsi" w:eastAsia="Times New Roman" w:hAnsiTheme="minorHAnsi" w:cstheme="minorHAnsi"/>
          <w:sz w:val="24"/>
          <w:szCs w:val="24"/>
        </w:rPr>
      </w:pPr>
    </w:p>
    <w:p w14:paraId="0BAA2C77" w14:textId="1B30934F"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Ai fini del soccorso istruttorio </w:t>
      </w:r>
      <w:r w:rsidRPr="00BA3D28">
        <w:rPr>
          <w:rFonts w:asciiTheme="minorHAnsi" w:eastAsia="Times New Roman" w:hAnsiTheme="minorHAnsi" w:cstheme="minorHAnsi"/>
          <w:sz w:val="24"/>
          <w:szCs w:val="24"/>
        </w:rPr>
        <w:t>è assegnato</w:t>
      </w:r>
      <w:r w:rsidRPr="00AF38A8">
        <w:rPr>
          <w:rFonts w:asciiTheme="minorHAnsi" w:eastAsia="Times New Roman" w:hAnsiTheme="minorHAnsi" w:cstheme="minorHAnsi"/>
          <w:sz w:val="24"/>
          <w:szCs w:val="24"/>
        </w:rPr>
        <w:t xml:space="preserve"> al concorrente un termine </w:t>
      </w:r>
      <w:r w:rsidRPr="00BA3D28">
        <w:rPr>
          <w:rFonts w:asciiTheme="minorHAnsi" w:eastAsia="Times New Roman" w:hAnsiTheme="minorHAnsi" w:cstheme="minorHAnsi"/>
          <w:sz w:val="24"/>
          <w:szCs w:val="24"/>
        </w:rPr>
        <w:t xml:space="preserve">di …… </w:t>
      </w:r>
      <w:r w:rsidRPr="00BA3D28">
        <w:rPr>
          <w:rFonts w:asciiTheme="minorHAnsi" w:eastAsia="Times New Roman" w:hAnsiTheme="minorHAnsi" w:cstheme="minorHAnsi"/>
          <w:i/>
          <w:sz w:val="24"/>
          <w:szCs w:val="24"/>
        </w:rPr>
        <w:t>[indicare il termine</w:t>
      </w:r>
      <w:r w:rsidRPr="00AF38A8">
        <w:rPr>
          <w:rFonts w:asciiTheme="minorHAnsi" w:eastAsia="Times New Roman" w:hAnsiTheme="minorHAnsi" w:cstheme="minorHAnsi"/>
          <w:i/>
          <w:sz w:val="24"/>
          <w:szCs w:val="24"/>
        </w:rPr>
        <w:t xml:space="preserve"> non inferiore a cinque e non superiore a dieci giorni</w:t>
      </w:r>
      <w:r w:rsidRPr="00BA3D28">
        <w:rPr>
          <w:rFonts w:asciiTheme="minorHAnsi" w:eastAsia="Times New Roman" w:hAnsiTheme="minorHAnsi" w:cstheme="minorHAnsi"/>
          <w:i/>
          <w:sz w:val="24"/>
          <w:szCs w:val="24"/>
        </w:rPr>
        <w:t>]</w:t>
      </w:r>
      <w:r w:rsidRPr="00BA3D28">
        <w:rPr>
          <w:rFonts w:asciiTheme="minorHAnsi" w:eastAsia="Times New Roman" w:hAnsiTheme="minorHAnsi" w:cstheme="minorHAnsi"/>
          <w:sz w:val="24"/>
          <w:szCs w:val="24"/>
        </w:rPr>
        <w:t xml:space="preserve"> affinché</w:t>
      </w:r>
      <w:r w:rsidRPr="00AF38A8">
        <w:rPr>
          <w:rFonts w:asciiTheme="minorHAnsi" w:eastAsia="Times New Roman" w:hAnsiTheme="minorHAnsi" w:cstheme="minorHAnsi"/>
          <w:sz w:val="24"/>
          <w:szCs w:val="24"/>
        </w:rPr>
        <w:t xml:space="preserve"> siano rese, integrate o regolarizzate le dichiarazioni necessarie, indicando il contenuto e i soggetti che le devono rendere nonché la sezione della Piattaforma dove deve essere inserita la documentazione richiesta.</w:t>
      </w:r>
      <w:r w:rsidR="0057388A" w:rsidRPr="00AF38A8">
        <w:rPr>
          <w:rFonts w:asciiTheme="minorHAnsi" w:eastAsia="Times New Roman" w:hAnsiTheme="minorHAnsi" w:cstheme="minorHAnsi"/>
          <w:sz w:val="24"/>
          <w:szCs w:val="24"/>
        </w:rPr>
        <w:t xml:space="preserve"> </w:t>
      </w:r>
      <w:r w:rsidR="005F742A" w:rsidRPr="00AF38A8">
        <w:rPr>
          <w:rFonts w:asciiTheme="minorHAnsi" w:eastAsia="Times New Roman" w:hAnsiTheme="minorHAnsi" w:cstheme="minorHAnsi"/>
          <w:sz w:val="24"/>
          <w:szCs w:val="24"/>
        </w:rPr>
        <w:t>In caso di inutile decorso del termine, la stazione appaltante procede all’esclusione del concorrente dalla procedura.</w:t>
      </w:r>
    </w:p>
    <w:p w14:paraId="689B3224" w14:textId="77777777" w:rsidR="0076366E" w:rsidRPr="00BA3D2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Ove il concorrente produca dichiarazioni o documenti non perfettamente coerenti con la richiesta, la stazione appaltante può chiedere ulteriori precisazioni o chiarimenti, limitati alla documentazione presentata in fase di soccorso istruttorio, fissando un termine a pena di esclusione.</w:t>
      </w:r>
    </w:p>
    <w:p w14:paraId="24DF78BB" w14:textId="06E3C343" w:rsidR="0076366E"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La stazione appaltante può sempre chiedere chiarimenti sui contenuti dell’offerta tecnica e dell’offerta economica e su ogni loro allegato. L’operatore economico è tenuto a fornire risposta nel termine di ………. [</w:t>
      </w:r>
      <w:r w:rsidRPr="00BA3D28">
        <w:rPr>
          <w:rFonts w:asciiTheme="minorHAnsi" w:eastAsia="Times New Roman" w:hAnsiTheme="minorHAnsi" w:cstheme="minorHAnsi"/>
          <w:i/>
          <w:sz w:val="24"/>
          <w:szCs w:val="24"/>
        </w:rPr>
        <w:t xml:space="preserve">indicare un termine che non può essere inferiore a cinque giorni e superiore a dieci </w:t>
      </w:r>
      <w:r w:rsidRPr="00BD1359">
        <w:rPr>
          <w:rFonts w:asciiTheme="minorHAnsi" w:eastAsia="Times New Roman" w:hAnsiTheme="minorHAnsi" w:cstheme="minorHAnsi"/>
          <w:sz w:val="24"/>
          <w:szCs w:val="24"/>
        </w:rPr>
        <w:t>giorni]</w:t>
      </w:r>
      <w:r w:rsidRPr="00BA3D28">
        <w:rPr>
          <w:rFonts w:asciiTheme="minorHAnsi" w:eastAsia="Times New Roman" w:hAnsiTheme="minorHAnsi" w:cstheme="minorHAnsi"/>
          <w:sz w:val="24"/>
          <w:szCs w:val="24"/>
        </w:rPr>
        <w:t>. I chiarimenti resi dall’operatore economico non possono modificare il contenuto dell’offerta.</w:t>
      </w:r>
    </w:p>
    <w:p w14:paraId="2C2755C2" w14:textId="77777777" w:rsidR="0076366E" w:rsidRDefault="0076366E" w:rsidP="00BD1359">
      <w:pPr>
        <w:spacing w:line="276" w:lineRule="auto"/>
        <w:jc w:val="both"/>
        <w:rPr>
          <w:rFonts w:asciiTheme="minorHAnsi" w:eastAsia="Times New Roman" w:hAnsiTheme="minorHAnsi" w:cstheme="minorHAnsi"/>
          <w:sz w:val="24"/>
          <w:szCs w:val="24"/>
        </w:rPr>
      </w:pPr>
    </w:p>
    <w:p w14:paraId="5D92A995"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31" w:name="_Toc139277043"/>
      <w:bookmarkStart w:id="132" w:name="_Toc140929838"/>
      <w:bookmarkStart w:id="133" w:name="_Toc141027280"/>
      <w:r w:rsidRPr="00AF38A8">
        <w:rPr>
          <w:rFonts w:asciiTheme="minorHAnsi" w:eastAsia="Times New Roman" w:hAnsiTheme="minorHAnsi" w:cstheme="minorHAnsi"/>
          <w:sz w:val="24"/>
          <w:szCs w:val="24"/>
        </w:rPr>
        <w:t>Domanda di partecipazione e documentazione amministrativa</w:t>
      </w:r>
      <w:bookmarkEnd w:id="131"/>
      <w:bookmarkEnd w:id="132"/>
      <w:bookmarkEnd w:id="133"/>
    </w:p>
    <w:p w14:paraId="5E809D02"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L’operatore economico utilizza [</w:t>
      </w:r>
      <w:r w:rsidRPr="00AF38A8">
        <w:rPr>
          <w:rFonts w:asciiTheme="minorHAnsi" w:eastAsia="Times New Roman" w:hAnsiTheme="minorHAnsi" w:cstheme="minorHAnsi"/>
          <w:i/>
          <w:sz w:val="24"/>
          <w:szCs w:val="24"/>
        </w:rPr>
        <w:t>eventualmente: per ogni singolo lotto</w:t>
      </w:r>
      <w:r w:rsidRPr="00AF38A8">
        <w:rPr>
          <w:rFonts w:asciiTheme="minorHAnsi" w:eastAsia="Times New Roman" w:hAnsiTheme="minorHAnsi" w:cstheme="minorHAnsi"/>
          <w:sz w:val="24"/>
          <w:szCs w:val="24"/>
        </w:rPr>
        <w:t>] la Piattaforma … [</w:t>
      </w:r>
      <w:r w:rsidRPr="00AF38A8">
        <w:rPr>
          <w:rFonts w:asciiTheme="minorHAnsi" w:eastAsia="Times New Roman" w:hAnsiTheme="minorHAnsi" w:cstheme="minorHAnsi"/>
          <w:i/>
          <w:sz w:val="24"/>
          <w:szCs w:val="24"/>
        </w:rPr>
        <w:t>la SA indica la Sezione/Area della Piattaforma</w:t>
      </w:r>
      <w:r w:rsidRPr="00AF38A8">
        <w:rPr>
          <w:rFonts w:asciiTheme="minorHAnsi" w:eastAsia="Times New Roman" w:hAnsiTheme="minorHAnsi" w:cstheme="minorHAnsi"/>
          <w:sz w:val="24"/>
          <w:szCs w:val="24"/>
        </w:rPr>
        <w:t>] per compilare o allegare la seguente documentazione:</w:t>
      </w:r>
    </w:p>
    <w:p w14:paraId="07143471" w14:textId="77777777" w:rsidR="0076366E" w:rsidRPr="00AF38A8" w:rsidRDefault="00BA3D28" w:rsidP="00BD1359">
      <w:pPr>
        <w:numPr>
          <w:ilvl w:val="0"/>
          <w:numId w:val="13"/>
        </w:numPr>
        <w:pBdr>
          <w:top w:val="nil"/>
          <w:left w:val="nil"/>
          <w:bottom w:val="nil"/>
          <w:right w:val="nil"/>
          <w:between w:val="nil"/>
        </w:pBdr>
        <w:spacing w:line="276" w:lineRule="auto"/>
        <w:ind w:left="714" w:hanging="357"/>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domanda di partecipazione;</w:t>
      </w:r>
    </w:p>
    <w:p w14:paraId="2D2C76F1" w14:textId="20339A59" w:rsidR="0076366E" w:rsidRPr="00AF38A8" w:rsidRDefault="00BA3D28" w:rsidP="00BD1359">
      <w:pPr>
        <w:numPr>
          <w:ilvl w:val="0"/>
          <w:numId w:val="13"/>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documento di gara unico europeo;</w:t>
      </w:r>
    </w:p>
    <w:p w14:paraId="1DDBD59E" w14:textId="77777777" w:rsidR="0076366E" w:rsidRPr="00AF38A8" w:rsidRDefault="00BA3D28" w:rsidP="00BD1359">
      <w:pPr>
        <w:numPr>
          <w:ilvl w:val="0"/>
          <w:numId w:val="13"/>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eventuale procura;</w:t>
      </w:r>
    </w:p>
    <w:p w14:paraId="159ECE9D" w14:textId="742D372F" w:rsidR="0076366E" w:rsidRPr="00AF38A8" w:rsidRDefault="00AC7561" w:rsidP="00BD1359">
      <w:pPr>
        <w:numPr>
          <w:ilvl w:val="0"/>
          <w:numId w:val="13"/>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eventuale </w:t>
      </w:r>
      <w:r w:rsidR="00BA3D28" w:rsidRPr="00AF38A8">
        <w:rPr>
          <w:rFonts w:asciiTheme="minorHAnsi" w:eastAsia="Times New Roman" w:hAnsiTheme="minorHAnsi" w:cstheme="minorHAnsi"/>
          <w:sz w:val="24"/>
          <w:szCs w:val="24"/>
        </w:rPr>
        <w:t>garanzia provvisoria</w:t>
      </w:r>
      <w:r w:rsidR="005F742A" w:rsidRPr="00AF38A8">
        <w:rPr>
          <w:rFonts w:asciiTheme="minorHAnsi" w:eastAsia="Times New Roman" w:hAnsiTheme="minorHAnsi" w:cstheme="minorHAnsi"/>
          <w:sz w:val="24"/>
          <w:szCs w:val="24"/>
        </w:rPr>
        <w:t>;</w:t>
      </w:r>
    </w:p>
    <w:p w14:paraId="08692A11" w14:textId="0A50E3D2" w:rsidR="0076366E" w:rsidRPr="00AF38A8" w:rsidRDefault="00BA3D28" w:rsidP="00BD1359">
      <w:pPr>
        <w:numPr>
          <w:ilvl w:val="0"/>
          <w:numId w:val="13"/>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proofErr w:type="spellStart"/>
      <w:r w:rsidRPr="00AF38A8">
        <w:rPr>
          <w:rFonts w:asciiTheme="minorHAnsi" w:eastAsia="Times New Roman" w:hAnsiTheme="minorHAnsi" w:cstheme="minorHAnsi"/>
          <w:sz w:val="24"/>
          <w:szCs w:val="24"/>
        </w:rPr>
        <w:t>PASSoe</w:t>
      </w:r>
      <w:proofErr w:type="spellEnd"/>
      <w:r w:rsidRPr="00AF38A8">
        <w:rPr>
          <w:rFonts w:asciiTheme="minorHAnsi" w:eastAsia="Times New Roman" w:hAnsiTheme="minorHAnsi" w:cstheme="minorHAnsi"/>
          <w:sz w:val="24"/>
          <w:szCs w:val="24"/>
        </w:rPr>
        <w:t xml:space="preserve"> </w:t>
      </w:r>
      <w:r w:rsidR="00911D26" w:rsidRPr="00AF38A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fino al 31 dicembre 2023</w:t>
      </w:r>
      <w:r w:rsidR="00911D26" w:rsidRPr="00AF38A8">
        <w:rPr>
          <w:rFonts w:asciiTheme="minorHAnsi" w:eastAsia="Times New Roman" w:hAnsiTheme="minorHAnsi" w:cstheme="minorHAnsi"/>
          <w:sz w:val="24"/>
          <w:szCs w:val="24"/>
        </w:rPr>
        <w:t>);</w:t>
      </w:r>
    </w:p>
    <w:p w14:paraId="460B4772" w14:textId="77777777" w:rsidR="0076366E" w:rsidRPr="00AF38A8" w:rsidRDefault="00BA3D28" w:rsidP="00BD1359">
      <w:pPr>
        <w:numPr>
          <w:ilvl w:val="0"/>
          <w:numId w:val="1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documentazione in caso di avvalimento di cui al punto </w:t>
      </w:r>
      <w:hyperlink w:anchor="_heading=h.2zbgiuw">
        <w:r w:rsidRPr="00AF38A8">
          <w:rPr>
            <w:rFonts w:asciiTheme="minorHAnsi" w:eastAsia="Times New Roman" w:hAnsiTheme="minorHAnsi" w:cstheme="minorHAnsi"/>
            <w:sz w:val="24"/>
            <w:szCs w:val="24"/>
          </w:rPr>
          <w:t>15.3;</w:t>
        </w:r>
      </w:hyperlink>
    </w:p>
    <w:p w14:paraId="39C0BB4E" w14:textId="77777777" w:rsidR="0076366E" w:rsidRPr="00AF38A8" w:rsidRDefault="00BA3D28" w:rsidP="00BD1359">
      <w:pPr>
        <w:numPr>
          <w:ilvl w:val="0"/>
          <w:numId w:val="1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documentazione per i soggetti associati di cui al punto </w:t>
      </w:r>
      <w:hyperlink w:anchor="_heading=h.3ygebqi">
        <w:r w:rsidRPr="00AF38A8">
          <w:rPr>
            <w:rFonts w:asciiTheme="minorHAnsi" w:eastAsia="Times New Roman" w:hAnsiTheme="minorHAnsi" w:cstheme="minorHAnsi"/>
            <w:sz w:val="24"/>
            <w:szCs w:val="24"/>
          </w:rPr>
          <w:t>15.4;</w:t>
        </w:r>
      </w:hyperlink>
    </w:p>
    <w:p w14:paraId="31DE5F7A" w14:textId="77777777" w:rsidR="0076366E" w:rsidRPr="00AF38A8" w:rsidRDefault="00BA3D28" w:rsidP="00BD1359">
      <w:pPr>
        <w:numPr>
          <w:ilvl w:val="0"/>
          <w:numId w:val="1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Se previsti altri documenti</w:t>
      </w:r>
      <w:r w:rsidRPr="00AF38A8">
        <w:rPr>
          <w:rFonts w:asciiTheme="minorHAnsi" w:eastAsia="Times New Roman" w:hAnsiTheme="minorHAnsi" w:cstheme="minorHAnsi"/>
          <w:sz w:val="24"/>
          <w:szCs w:val="24"/>
        </w:rPr>
        <w:t>] … [</w:t>
      </w:r>
      <w:r w:rsidRPr="00AF38A8">
        <w:rPr>
          <w:rFonts w:asciiTheme="minorHAnsi" w:eastAsia="Times New Roman" w:hAnsiTheme="minorHAnsi" w:cstheme="minorHAnsi"/>
          <w:i/>
          <w:sz w:val="24"/>
          <w:szCs w:val="24"/>
        </w:rPr>
        <w:t>indicare gli altri documenti previsti in relazione alla specificità dell’affidamento, diversi da quelli già in possesso</w:t>
      </w:r>
      <w:r w:rsidRPr="00AF38A8">
        <w:rPr>
          <w:rFonts w:asciiTheme="minorHAnsi" w:eastAsia="Times New Roman" w:hAnsiTheme="minorHAnsi" w:cstheme="minorHAnsi"/>
          <w:sz w:val="24"/>
          <w:szCs w:val="24"/>
        </w:rPr>
        <w:t>]</w:t>
      </w:r>
    </w:p>
    <w:p w14:paraId="3B019161" w14:textId="485CE280" w:rsidR="0076366E" w:rsidRPr="00AF38A8" w:rsidRDefault="0076366E" w:rsidP="00BD1359">
      <w:pPr>
        <w:spacing w:line="276" w:lineRule="auto"/>
        <w:jc w:val="both"/>
        <w:rPr>
          <w:rFonts w:asciiTheme="minorHAnsi" w:eastAsia="Times New Roman" w:hAnsiTheme="minorHAnsi" w:cstheme="minorHAnsi"/>
          <w:b/>
          <w:i/>
          <w:sz w:val="24"/>
          <w:szCs w:val="24"/>
        </w:rPr>
      </w:pPr>
    </w:p>
    <w:p w14:paraId="52173058" w14:textId="77777777" w:rsidR="0076366E" w:rsidRPr="00AF38A8" w:rsidRDefault="00BA3D28" w:rsidP="00BD1359">
      <w:pPr>
        <w:pStyle w:val="Titolo1"/>
        <w:numPr>
          <w:ilvl w:val="1"/>
          <w:numId w:val="18"/>
        </w:numPr>
        <w:spacing w:line="276" w:lineRule="auto"/>
        <w:jc w:val="left"/>
        <w:rPr>
          <w:rFonts w:asciiTheme="minorHAnsi" w:eastAsia="Times New Roman" w:hAnsiTheme="minorHAnsi" w:cstheme="minorHAnsi"/>
          <w:sz w:val="24"/>
          <w:szCs w:val="24"/>
        </w:rPr>
      </w:pPr>
      <w:bookmarkStart w:id="134" w:name="_Toc139277044"/>
      <w:bookmarkStart w:id="135" w:name="_Toc140929839"/>
      <w:bookmarkStart w:id="136" w:name="_Toc141027281"/>
      <w:r w:rsidRPr="00AF38A8">
        <w:rPr>
          <w:rFonts w:asciiTheme="minorHAnsi" w:eastAsia="Times New Roman" w:hAnsiTheme="minorHAnsi" w:cstheme="minorHAnsi"/>
          <w:sz w:val="24"/>
          <w:szCs w:val="24"/>
        </w:rPr>
        <w:t>Domanda di partecipazione ed eventuale procura</w:t>
      </w:r>
      <w:bookmarkEnd w:id="134"/>
      <w:bookmarkEnd w:id="135"/>
      <w:bookmarkEnd w:id="136"/>
    </w:p>
    <w:p w14:paraId="5EA676F5"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domanda di partecipazione è integrata con il Documento di gara unico europeo e con le informazioni aggiuntive ritenute necessarie ed è redatta secondo il modello di cui all’allegato n. …. [</w:t>
      </w:r>
      <w:r w:rsidRPr="00AF38A8">
        <w:rPr>
          <w:rFonts w:asciiTheme="minorHAnsi" w:eastAsia="Times New Roman" w:hAnsiTheme="minorHAnsi" w:cstheme="minorHAnsi"/>
          <w:i/>
          <w:sz w:val="24"/>
          <w:szCs w:val="24"/>
        </w:rPr>
        <w:t>inserire</w:t>
      </w:r>
      <w:r w:rsidRPr="00AF38A8">
        <w:rPr>
          <w:rFonts w:asciiTheme="minorHAnsi" w:eastAsia="Times New Roman" w:hAnsiTheme="minorHAnsi" w:cstheme="minorHAnsi"/>
          <w:sz w:val="24"/>
          <w:szCs w:val="24"/>
        </w:rPr>
        <w:t>] [</w:t>
      </w:r>
      <w:r w:rsidRPr="00AF38A8">
        <w:rPr>
          <w:rFonts w:asciiTheme="minorHAnsi" w:eastAsia="Times New Roman" w:hAnsiTheme="minorHAnsi" w:cstheme="minorHAnsi"/>
          <w:b/>
          <w:i/>
          <w:sz w:val="24"/>
          <w:szCs w:val="24"/>
        </w:rPr>
        <w:t>o in alternativa</w:t>
      </w:r>
      <w:r w:rsidRPr="00AF38A8">
        <w:rPr>
          <w:rFonts w:asciiTheme="minorHAnsi" w:eastAsia="Times New Roman" w:hAnsiTheme="minorHAnsi" w:cstheme="minorHAnsi"/>
          <w:sz w:val="24"/>
          <w:szCs w:val="24"/>
        </w:rPr>
        <w:t>] è compilata online sulla Piattaforma.</w:t>
      </w:r>
    </w:p>
    <w:p w14:paraId="332E90C9" w14:textId="11522251"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dichiarazioni in ordine all’insussistenza delle cause automatiche di esclusione di cui all’articolo 94</w:t>
      </w:r>
      <w:r w:rsidR="00B23953">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commi 1 e 2</w:t>
      </w:r>
      <w:r w:rsidR="00B23953">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w:t>
      </w:r>
      <w:r w:rsidR="00B23953">
        <w:rPr>
          <w:rFonts w:asciiTheme="minorHAnsi" w:eastAsia="Times New Roman" w:hAnsiTheme="minorHAnsi" w:cstheme="minorHAnsi"/>
          <w:sz w:val="24"/>
          <w:szCs w:val="24"/>
        </w:rPr>
        <w:t>C</w:t>
      </w:r>
      <w:r w:rsidRPr="00AF38A8">
        <w:rPr>
          <w:rFonts w:asciiTheme="minorHAnsi" w:eastAsia="Times New Roman" w:hAnsiTheme="minorHAnsi" w:cstheme="minorHAnsi"/>
          <w:sz w:val="24"/>
          <w:szCs w:val="24"/>
        </w:rPr>
        <w:t>odice sono rese dall’operatore economico in relazione a tutti i soggetti indicati al comma 3.</w:t>
      </w:r>
    </w:p>
    <w:p w14:paraId="1C754B8F" w14:textId="3E9AFA13"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dichiarazioni in ordine all’insussistenza delle cause non automatiche di esclusione di cui all’articolo 98</w:t>
      </w:r>
      <w:r w:rsidR="00B23953">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3</w:t>
      </w:r>
      <w:r w:rsidR="00B23953">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g) e h) </w:t>
      </w:r>
      <w:r w:rsidR="00525C2E" w:rsidRPr="00AF38A8">
        <w:rPr>
          <w:rFonts w:asciiTheme="minorHAnsi" w:eastAsia="Times New Roman" w:hAnsiTheme="minorHAnsi" w:cstheme="minorHAnsi"/>
          <w:sz w:val="24"/>
          <w:szCs w:val="24"/>
        </w:rPr>
        <w:t>del C</w:t>
      </w:r>
      <w:r w:rsidRPr="00AF38A8">
        <w:rPr>
          <w:rFonts w:asciiTheme="minorHAnsi" w:eastAsia="Times New Roman" w:hAnsiTheme="minorHAnsi" w:cstheme="minorHAnsi"/>
          <w:sz w:val="24"/>
          <w:szCs w:val="24"/>
        </w:rPr>
        <w:t>odice sono rese dall’operatore economico in relazione ai soggetti di cui al punto precedente.</w:t>
      </w:r>
    </w:p>
    <w:p w14:paraId="5AE06CF0"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dichiarazioni in ordine all’insussistenza delle altre cause di esclusione sono rese in relazione all’operatore economico. Con riferimento alle cause di esclusione di cui all’articolo 95, il concorrente dichiara:</w:t>
      </w:r>
    </w:p>
    <w:p w14:paraId="6EC011AB" w14:textId="5A78804D" w:rsidR="0076366E" w:rsidRPr="00AF38A8" w:rsidRDefault="00BA3D28" w:rsidP="00BD1359">
      <w:pPr>
        <w:numPr>
          <w:ilvl w:val="0"/>
          <w:numId w:val="3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gravi infrazioni di cui all’articolo 95, comma 1, lettera a)</w:t>
      </w:r>
      <w:r w:rsidR="00B23953">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Codice commesse nei tre anni antecedenti la data di pubblicazione del bando di gara;</w:t>
      </w:r>
    </w:p>
    <w:p w14:paraId="5972CF32" w14:textId="126BC201" w:rsidR="0076366E" w:rsidRPr="00AF38A8" w:rsidRDefault="00BA3D28" w:rsidP="00BD1359">
      <w:pPr>
        <w:numPr>
          <w:ilvl w:val="0"/>
          <w:numId w:val="3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gli atti con cui il pubblico ministero esercita l’azione penale ai sensi dell’articolo 407-bis, comma 1, del codice di procedura penale (formulazione dell'imputazione o richiesta di rinvio a giudizio) e i provvedimenti cautelari personali o reali del giudice penale, se antecedenti all’esercizio dell’azione penale, adottati in relazione alla contestata commissione dei reati di cui all’articolo 94, comma 1, del codice e alla contestata o accertata commissione dei reati di cui all’articolo 98, comma 4, lettera h) del </w:t>
      </w:r>
      <w:r w:rsidR="00B23953">
        <w:rPr>
          <w:rFonts w:asciiTheme="minorHAnsi" w:eastAsia="Times New Roman" w:hAnsiTheme="minorHAnsi" w:cstheme="minorHAnsi"/>
          <w:sz w:val="24"/>
          <w:szCs w:val="24"/>
        </w:rPr>
        <w:t>C</w:t>
      </w:r>
      <w:r w:rsidRPr="00AF38A8">
        <w:rPr>
          <w:rFonts w:asciiTheme="minorHAnsi" w:eastAsia="Times New Roman" w:hAnsiTheme="minorHAnsi" w:cstheme="minorHAnsi"/>
          <w:sz w:val="24"/>
          <w:szCs w:val="24"/>
        </w:rPr>
        <w:t>odice, emessi nei tre anni antecedenti la data di pubblicazione del bando di gara;</w:t>
      </w:r>
    </w:p>
    <w:p w14:paraId="24839798" w14:textId="77777777" w:rsidR="0076366E" w:rsidRPr="00AF38A8" w:rsidRDefault="00BA3D28" w:rsidP="00BD1359">
      <w:pPr>
        <w:numPr>
          <w:ilvl w:val="0"/>
          <w:numId w:val="3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provvedimenti sanzionatori esecutivi irrogati dall’Autorità Garante della Concorrenza e del Mercato o da altra autorità di settore, adottati nei tre anni antecedenti la data di pubblicazione del bando di gara;</w:t>
      </w:r>
    </w:p>
    <w:p w14:paraId="675B614E" w14:textId="77777777" w:rsidR="0076366E" w:rsidRPr="00AF38A8" w:rsidRDefault="00BA3D28" w:rsidP="00BD1359">
      <w:pPr>
        <w:numPr>
          <w:ilvl w:val="0"/>
          <w:numId w:val="3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tutti gli altri comportamenti di cui all’articolo 98, commessi nei tre anni antecedenti la data di pubblicazione del bando di gara.</w:t>
      </w:r>
    </w:p>
    <w:p w14:paraId="37B0EB4B"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dichiarazione di cui sopra deve essere resa anche nel caso di impugnazione in giudizio dei relativi provvedimenti.</w:t>
      </w:r>
    </w:p>
    <w:p w14:paraId="193F5CB0"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L’operatore economico dichiara la sussistenza delle cause di esclusione che si sono verificate prima </w:t>
      </w:r>
      <w:r w:rsidRPr="00AF38A8">
        <w:rPr>
          <w:rFonts w:asciiTheme="minorHAnsi" w:eastAsia="Times New Roman" w:hAnsiTheme="minorHAnsi" w:cstheme="minorHAnsi"/>
          <w:sz w:val="24"/>
          <w:szCs w:val="24"/>
        </w:rPr>
        <w:lastRenderedPageBreak/>
        <w:t>della presentazione dell’offerta e indica le misure di self-cleaning adottate, oppure dimostra l’impossibilità di adottare tali misure prima della presentazione dell’offerta.</w:t>
      </w:r>
    </w:p>
    <w:p w14:paraId="2ED38782"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L’operatore economico adotta le misure di self cleaning che è stato impossibilitato ad adottare prima della presentazione dell’offerta e quelle relative a cause di esclusione che si sono verificate dopo tale momento.</w:t>
      </w:r>
    </w:p>
    <w:p w14:paraId="04024937"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l’operatore economico omette di comunicare alla stazione appaltante la sussistenza dei fatti e dei provvedimenti che possono costituire una causa di esclusione ai sensi degli articoli 94 e 95 del codice e detti fatti o provvedimenti non risultino nel FVOE, il triennio inizia a decorrere dalla data in cui la stazione appaltante ha acquisito gli stessi, anziché dalla commissione del fatto o dall’adozione del provvedimento.</w:t>
      </w:r>
    </w:p>
    <w:p w14:paraId="66BF854A" w14:textId="77777777" w:rsidR="0076366E" w:rsidRPr="00AF38A8" w:rsidRDefault="0076366E" w:rsidP="00BD1359">
      <w:pPr>
        <w:pBdr>
          <w:top w:val="nil"/>
          <w:left w:val="nil"/>
          <w:bottom w:val="nil"/>
          <w:right w:val="nil"/>
          <w:between w:val="nil"/>
        </w:pBdr>
        <w:spacing w:line="276" w:lineRule="auto"/>
        <w:ind w:left="227"/>
        <w:jc w:val="both"/>
        <w:rPr>
          <w:rFonts w:asciiTheme="minorHAnsi" w:eastAsia="Times New Roman" w:hAnsiTheme="minorHAnsi" w:cstheme="minorHAnsi"/>
          <w:sz w:val="24"/>
          <w:szCs w:val="24"/>
        </w:rPr>
      </w:pPr>
    </w:p>
    <w:p w14:paraId="75C534DC" w14:textId="77777777" w:rsidR="00A71794"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37" w:name="_heading=h.4fsjm0b" w:colFirst="0" w:colLast="0"/>
      <w:bookmarkEnd w:id="137"/>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sz w:val="24"/>
          <w:szCs w:val="24"/>
        </w:rPr>
        <w:t>In caso di suddivisione della gara in lotti</w:t>
      </w:r>
      <w:r w:rsidRPr="00AF38A8">
        <w:rPr>
          <w:rFonts w:asciiTheme="minorHAnsi" w:eastAsia="Times New Roman" w:hAnsiTheme="minorHAnsi" w:cstheme="minorHAnsi"/>
          <w:sz w:val="24"/>
          <w:szCs w:val="24"/>
        </w:rPr>
        <w:t xml:space="preserve">] </w:t>
      </w:r>
    </w:p>
    <w:p w14:paraId="17EAFC09" w14:textId="4EFDB2E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concorrente indica nella domanda di partecipazione per quale lotto concorre.</w:t>
      </w:r>
    </w:p>
    <w:p w14:paraId="2CD3AA48"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caso di raggruppamento temporaneo, consorzio ordinario, aggregazione di retisti, GEIE, il concorrente fornisce i dati identificativi (ragione sociale, codice fiscale, sede) e il ruolo di ciascun partecipante.</w:t>
      </w:r>
    </w:p>
    <w:p w14:paraId="4F384ACC" w14:textId="2989E02C" w:rsidR="0076366E"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38" w:name="_Hlk139559220"/>
      <w:r w:rsidRPr="00AF38A8">
        <w:rPr>
          <w:rFonts w:asciiTheme="minorHAnsi" w:eastAsia="Times New Roman" w:hAnsiTheme="minorHAnsi" w:cstheme="minorHAnsi"/>
          <w:sz w:val="24"/>
          <w:szCs w:val="24"/>
        </w:rPr>
        <w:t>In caso di consorzio stabile di cui all’articolo 66, comma 1, lett. g) del Codice, il consorzio indica il consorziato per il quale concorre alla gara.</w:t>
      </w:r>
    </w:p>
    <w:p w14:paraId="2969C264" w14:textId="77777777" w:rsidR="00A71794" w:rsidRPr="00AF38A8" w:rsidRDefault="00A71794"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D9A4841"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39" w:name="_heading=h.2uxtw84" w:colFirst="0" w:colLast="0"/>
      <w:bookmarkEnd w:id="138"/>
      <w:bookmarkEnd w:id="139"/>
      <w:r w:rsidRPr="00AF38A8">
        <w:rPr>
          <w:rFonts w:asciiTheme="minorHAnsi" w:eastAsia="Times New Roman" w:hAnsiTheme="minorHAnsi" w:cstheme="minorHAnsi"/>
          <w:sz w:val="24"/>
          <w:szCs w:val="24"/>
        </w:rPr>
        <w:t>Nella domanda di partecipazione il concorrente dichiara:</w:t>
      </w:r>
    </w:p>
    <w:p w14:paraId="62D2BEC7" w14:textId="77777777"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p w14:paraId="49EDB7FA" w14:textId="77777777" w:rsidR="0076366E" w:rsidRPr="00AF38A8" w:rsidRDefault="00BA3D28" w:rsidP="00BD1359">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particolare:</w:t>
      </w:r>
    </w:p>
    <w:p w14:paraId="3FB7C9F0" w14:textId="77777777" w:rsidR="0076366E" w:rsidRPr="00AF38A8" w:rsidRDefault="00BA3D28" w:rsidP="00BD1359">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 professionisti singoli</w:t>
      </w:r>
    </w:p>
    <w:p w14:paraId="08CAC70B" w14:textId="77777777" w:rsidR="0076366E" w:rsidRPr="00AF38A8" w:rsidRDefault="00BA3D28" w:rsidP="00BD135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dati identificativi (nome, cognome, data e luogo di nascita, codice fiscale, residenza);</w:t>
      </w:r>
    </w:p>
    <w:p w14:paraId="6642B614" w14:textId="77777777" w:rsidR="0076366E" w:rsidRPr="00AF38A8" w:rsidRDefault="00BA3D28" w:rsidP="00BD1359">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 professionisti associati</w:t>
      </w:r>
    </w:p>
    <w:p w14:paraId="2850093D" w14:textId="77777777" w:rsidR="0076366E" w:rsidRPr="00AF38A8" w:rsidRDefault="00BA3D28" w:rsidP="00BD135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dati identificativi (nome, cognome, data e luogo di nascita, codice fiscale, residenza) di tutti i professionisti associati;</w:t>
      </w:r>
    </w:p>
    <w:p w14:paraId="217F3930" w14:textId="77777777" w:rsidR="0076366E" w:rsidRPr="00AF38A8" w:rsidRDefault="00BA3D28" w:rsidP="00BD135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requisiti (estremi di iscrizione ai relativi albi professionali) di cui all’art. 34 dell’allegato II.12 con riferimento a tutti i professionisti associati;</w:t>
      </w:r>
    </w:p>
    <w:p w14:paraId="28C1999E" w14:textId="77777777" w:rsidR="0076366E" w:rsidRPr="00AF38A8" w:rsidRDefault="00BA3D28" w:rsidP="00BD1359">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le società di professionisti</w:t>
      </w:r>
    </w:p>
    <w:p w14:paraId="262EF833" w14:textId="77777777" w:rsidR="0076366E" w:rsidRPr="00AF38A8" w:rsidRDefault="00BA3D28" w:rsidP="00BD135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dati identificativi (nome, cognome, data e luogo di nascita, codice fiscale, residenza) di tutti i soggetti di cui all’art. 94, comma 3 del Codice oppure la banca dati ufficiale o il pubblico registro da cui i medesimi possono essere ricavati in modo aggiornato alla data di presentazione dell’offerta;</w:t>
      </w:r>
    </w:p>
    <w:p w14:paraId="72F48009" w14:textId="77777777" w:rsidR="0076366E" w:rsidRPr="00AF38A8" w:rsidRDefault="00BA3D28" w:rsidP="00BD135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estremi di iscrizione ai relativi albi professionali dei soci;</w:t>
      </w:r>
    </w:p>
    <w:p w14:paraId="28E0CC5C" w14:textId="77777777" w:rsidR="0076366E" w:rsidRPr="00AF38A8" w:rsidRDefault="00BA3D28" w:rsidP="00BD135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organigramma aggiornato di cui all’art. 35 dell’allegato II.12;</w:t>
      </w:r>
    </w:p>
    <w:p w14:paraId="530CBF43" w14:textId="7E620972" w:rsidR="0076366E" w:rsidRPr="00AF38A8" w:rsidRDefault="00BA3D28" w:rsidP="00BD1359">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alternativa alle dichiarazioni di cui alle lett. e) e f), il concorrente dichiara che i medesimi dati aggiornati sono riscontrabili sul casellario delle società di ingegneria e professionali dell’ANAC.</w:t>
      </w:r>
    </w:p>
    <w:p w14:paraId="2B123F03" w14:textId="77777777" w:rsidR="0076366E" w:rsidRPr="00AF38A8" w:rsidRDefault="00BA3D28" w:rsidP="00BD1359">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lastRenderedPageBreak/>
        <w:t>Per le società di ingegneria</w:t>
      </w:r>
    </w:p>
    <w:p w14:paraId="76082F7A" w14:textId="77777777" w:rsidR="0076366E" w:rsidRPr="00AF38A8" w:rsidRDefault="00BA3D28" w:rsidP="00BD135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dati identificativi (nome, cognome, data e luogo di nascita, codice fiscale, residenza) di tutti i soggetti di cui all’art. 94, comma 3 del Codice oppure la banca dati ufficiale o il pubblico registro da cui i medesimi possono essere ricavati in modo aggiornato alla data di presentazione dell’offerta;</w:t>
      </w:r>
    </w:p>
    <w:p w14:paraId="33124FE9" w14:textId="77777777" w:rsidR="0076366E" w:rsidRPr="00AF38A8" w:rsidRDefault="00BA3D28" w:rsidP="00BD135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estremi dei requisiti (titolo di studio, data di abilitazione e n. iscrizione all’albo professionale) del direttore tecnico di cui all’art. 36 dell’allegato II.12;</w:t>
      </w:r>
    </w:p>
    <w:p w14:paraId="60906965" w14:textId="77777777" w:rsidR="0076366E" w:rsidRPr="00AF38A8" w:rsidRDefault="00BA3D28" w:rsidP="00BD135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organigramma aggiornato di cui all’art. 36 dell’allegato II.12.</w:t>
      </w:r>
    </w:p>
    <w:p w14:paraId="1F283A09" w14:textId="77777777" w:rsidR="0076366E" w:rsidRPr="00AF38A8" w:rsidRDefault="00BA3D28" w:rsidP="00BD1359">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alternativa alle dichiarazioni di cui alle lett. h) e i), il concorrente dichiara che i medesimi dati aggiornati sono riscontrabili sul casellario delle società di ingegneria e professionali dell’ANAC.</w:t>
      </w:r>
    </w:p>
    <w:p w14:paraId="654725C9" w14:textId="77777777" w:rsidR="0076366E" w:rsidRPr="00AF38A8" w:rsidRDefault="00BA3D28" w:rsidP="00BD1359">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 consorzi stabili</w:t>
      </w:r>
    </w:p>
    <w:p w14:paraId="75818AE6" w14:textId="77777777" w:rsidR="0076366E" w:rsidRPr="00AF38A8" w:rsidRDefault="00BA3D28" w:rsidP="00BD135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dati identificativi (nome, cognome, data e luogo di nascita, codice fiscale, residenza) di tutti i soggetti di cui all’art. 94, comma 3 del Codice oppure la banca dati ufficiale o il pubblico registro da cui i medesimi possono essere ricavati in modo aggiornato alla data di presentazione dell’offerta;</w:t>
      </w:r>
    </w:p>
    <w:p w14:paraId="05BA9591" w14:textId="4D9335E7"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con riferimento ai professionisti che espletano l’incarico di cui al punto 6.1</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w:t>
      </w:r>
      <w:r w:rsidR="00A71794">
        <w:rPr>
          <w:rFonts w:asciiTheme="minorHAnsi" w:eastAsia="Times New Roman" w:hAnsiTheme="minorHAnsi" w:cstheme="minorHAnsi"/>
          <w:sz w:val="24"/>
          <w:szCs w:val="24"/>
        </w:rPr>
        <w:t>d</w:t>
      </w:r>
      <w:r w:rsidRPr="00AF38A8">
        <w:rPr>
          <w:rFonts w:asciiTheme="minorHAnsi" w:eastAsia="Times New Roman" w:hAnsiTheme="minorHAnsi" w:cstheme="minorHAnsi"/>
          <w:sz w:val="24"/>
          <w:szCs w:val="24"/>
        </w:rPr>
        <w:t>), i seguenti dati: nome, cognome, data di nascita, codice fiscale, iscrizione al relativo albo professionale</w:t>
      </w:r>
      <w:r w:rsidR="00D52DF2" w:rsidRPr="00AF38A8">
        <w:rPr>
          <w:rFonts w:asciiTheme="minorHAnsi" w:eastAsia="Times New Roman" w:hAnsiTheme="minorHAnsi" w:cstheme="minorHAnsi"/>
          <w:sz w:val="24"/>
          <w:szCs w:val="24"/>
        </w:rPr>
        <w:t>;</w:t>
      </w:r>
    </w:p>
    <w:p w14:paraId="62088077" w14:textId="2A8827FA"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Nel caso di affidamento del servizio di coordinamento della sicurezza</w:t>
      </w:r>
      <w:r w:rsidRPr="00AF38A8">
        <w:rPr>
          <w:rFonts w:asciiTheme="minorHAnsi" w:eastAsia="Times New Roman" w:hAnsiTheme="minorHAnsi" w:cstheme="minorHAnsi"/>
          <w:sz w:val="24"/>
          <w:szCs w:val="24"/>
        </w:rPr>
        <w:t xml:space="preserve">] con riferimento al professionista di cui al punto 6.1 lett. </w:t>
      </w:r>
      <w:r w:rsidR="00A71794">
        <w:rPr>
          <w:rFonts w:asciiTheme="minorHAnsi" w:eastAsia="Times New Roman" w:hAnsiTheme="minorHAnsi" w:cstheme="minorHAnsi"/>
          <w:sz w:val="24"/>
          <w:szCs w:val="24"/>
        </w:rPr>
        <w:t>e</w:t>
      </w:r>
      <w:r w:rsidRPr="00AF38A8">
        <w:rPr>
          <w:rFonts w:asciiTheme="minorHAnsi" w:eastAsia="Times New Roman" w:hAnsiTheme="minorHAnsi" w:cstheme="minorHAnsi"/>
          <w:sz w:val="24"/>
          <w:szCs w:val="24"/>
        </w:rPr>
        <w:t>) i seguenti dati: nome, cognome, data di nascita, codice fiscale, abilitazione ai sensi dell’art. 98 del d. lgs. 81/2008;</w:t>
      </w:r>
    </w:p>
    <w:p w14:paraId="7B35362F" w14:textId="44ECDD16"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Nel caso sia richiesta la relazione geologica</w:t>
      </w:r>
      <w:r w:rsidRPr="00AF38A8">
        <w:rPr>
          <w:rFonts w:asciiTheme="minorHAnsi" w:eastAsia="Times New Roman" w:hAnsiTheme="minorHAnsi" w:cstheme="minorHAnsi"/>
          <w:sz w:val="24"/>
          <w:szCs w:val="24"/>
        </w:rPr>
        <w:t>], con riferimento al professionista di cui al punto 6.1</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w:t>
      </w:r>
      <w:r w:rsidR="00A71794">
        <w:rPr>
          <w:rFonts w:asciiTheme="minorHAnsi" w:eastAsia="Times New Roman" w:hAnsiTheme="minorHAnsi" w:cstheme="minorHAnsi"/>
          <w:sz w:val="24"/>
          <w:szCs w:val="24"/>
        </w:rPr>
        <w:t>f</w:t>
      </w:r>
      <w:r w:rsidRPr="00AF38A8">
        <w:rPr>
          <w:rFonts w:asciiTheme="minorHAnsi" w:eastAsia="Times New Roman" w:hAnsiTheme="minorHAnsi" w:cstheme="minorHAnsi"/>
          <w:sz w:val="24"/>
          <w:szCs w:val="24"/>
        </w:rPr>
        <w:t>)</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nome, cognome, data di nascita, codice fiscale, dati relativi ai requisiti abilitativi richiesti, forma di partecipazione;</w:t>
      </w:r>
    </w:p>
    <w:p w14:paraId="436CAAED" w14:textId="03F05A6B"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Nel caso sia richiesto il professionista antincendio</w:t>
      </w:r>
      <w:r w:rsidRPr="00AF38A8">
        <w:rPr>
          <w:rFonts w:asciiTheme="minorHAnsi" w:eastAsia="Times New Roman" w:hAnsiTheme="minorHAnsi" w:cstheme="minorHAnsi"/>
          <w:sz w:val="24"/>
          <w:szCs w:val="24"/>
        </w:rPr>
        <w:t>] con riferimento al professionista di cui al punto 6.1</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w:t>
      </w:r>
      <w:r w:rsidR="00A71794">
        <w:rPr>
          <w:rFonts w:asciiTheme="minorHAnsi" w:eastAsia="Times New Roman" w:hAnsiTheme="minorHAnsi" w:cstheme="minorHAnsi"/>
          <w:sz w:val="24"/>
          <w:szCs w:val="24"/>
        </w:rPr>
        <w:t>g</w:t>
      </w:r>
      <w:r w:rsidRPr="00AF38A8">
        <w:rPr>
          <w:rFonts w:asciiTheme="minorHAnsi" w:eastAsia="Times New Roman" w:hAnsiTheme="minorHAnsi" w:cstheme="minorHAnsi"/>
          <w:sz w:val="24"/>
          <w:szCs w:val="24"/>
        </w:rPr>
        <w:t>): nome, cognome, data di nascita, codice fiscale e gli estremi dell’iscrizione all’elenco del Ministero dell’Interno;</w:t>
      </w:r>
    </w:p>
    <w:p w14:paraId="3AE617B2" w14:textId="77417606"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remunerativa l’offerta economica presentata giacché per la sua formulazione ha preso atto e tenuto conto: </w:t>
      </w:r>
    </w:p>
    <w:p w14:paraId="2827DA16"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delle condizioni contrattuali e degli oneri compresi quelli eventuali relativi in materia, di assicurazione, di condizioni di lavoro e di previdenza e assistenza in vigore nel luogo dove devono essere svolti i servizi;</w:t>
      </w:r>
    </w:p>
    <w:p w14:paraId="1BE65057"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 tutte le circostanze generali, particolari e locali, nessuna esclusa ed eccettuata, che possono avere influito o influire sia sulla prestazione dei servizi, sia sulla determinazione della propria offerta;</w:t>
      </w:r>
    </w:p>
    <w:p w14:paraId="6DA4E4FB" w14:textId="77777777"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p>
    <w:p w14:paraId="69F1670B" w14:textId="77777777"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di accettare, senza condizione o riserva alcuna, tutte le norme e disposizioni contenute nella </w:t>
      </w:r>
      <w:r w:rsidRPr="00AF38A8">
        <w:rPr>
          <w:rFonts w:asciiTheme="minorHAnsi" w:eastAsia="Times New Roman" w:hAnsiTheme="minorHAnsi" w:cstheme="minorHAnsi"/>
          <w:sz w:val="24"/>
          <w:szCs w:val="24"/>
        </w:rPr>
        <w:lastRenderedPageBreak/>
        <w:t>documentazione gara;</w:t>
      </w:r>
    </w:p>
    <w:p w14:paraId="6D0B068E" w14:textId="0FEBDBF3" w:rsidR="0076366E" w:rsidRPr="00AF38A8" w:rsidRDefault="001F1932"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di </w:t>
      </w:r>
      <w:r w:rsidR="00BA3D28" w:rsidRPr="00AF38A8">
        <w:rPr>
          <w:rFonts w:asciiTheme="minorHAnsi" w:eastAsia="Times New Roman" w:hAnsiTheme="minorHAnsi" w:cstheme="minorHAnsi"/>
          <w:sz w:val="24"/>
          <w:szCs w:val="24"/>
        </w:rPr>
        <w:t>accetta</w:t>
      </w:r>
      <w:r w:rsidRPr="00AF38A8">
        <w:rPr>
          <w:rFonts w:asciiTheme="minorHAnsi" w:eastAsia="Times New Roman" w:hAnsiTheme="minorHAnsi" w:cstheme="minorHAnsi"/>
          <w:sz w:val="24"/>
          <w:szCs w:val="24"/>
        </w:rPr>
        <w:t>re</w:t>
      </w:r>
      <w:r w:rsidR="00BA3D28" w:rsidRPr="00AF38A8">
        <w:rPr>
          <w:rFonts w:asciiTheme="minorHAnsi" w:eastAsia="Times New Roman" w:hAnsiTheme="minorHAnsi" w:cstheme="minorHAnsi"/>
          <w:sz w:val="24"/>
          <w:szCs w:val="24"/>
        </w:rPr>
        <w:t xml:space="preserve"> il Protocollo </w:t>
      </w:r>
      <w:r w:rsidR="00F82CCB" w:rsidRPr="00AF38A8">
        <w:rPr>
          <w:rFonts w:asciiTheme="minorHAnsi" w:eastAsia="Times New Roman" w:hAnsiTheme="minorHAnsi" w:cstheme="minorHAnsi"/>
          <w:sz w:val="24"/>
          <w:szCs w:val="24"/>
        </w:rPr>
        <w:t xml:space="preserve">quadro </w:t>
      </w:r>
      <w:r w:rsidR="00BA3D28" w:rsidRPr="00AF38A8">
        <w:rPr>
          <w:rFonts w:asciiTheme="minorHAnsi" w:eastAsia="Times New Roman" w:hAnsiTheme="minorHAnsi" w:cstheme="minorHAnsi"/>
          <w:sz w:val="24"/>
          <w:szCs w:val="24"/>
        </w:rPr>
        <w:t xml:space="preserve">di legalità </w:t>
      </w:r>
      <w:r w:rsidR="00F82CCB" w:rsidRPr="00AF38A8">
        <w:rPr>
          <w:rFonts w:asciiTheme="minorHAnsi" w:eastAsia="Times New Roman" w:hAnsiTheme="minorHAnsi" w:cstheme="minorHAnsi"/>
          <w:sz w:val="24"/>
          <w:szCs w:val="24"/>
        </w:rPr>
        <w:t>sottoscritto in data 26/07/2017 dal Commissario straordinario del Governo, dalla Struttura di Missione e dalla Centrale Unica di Committenza INVITALIA Spa</w:t>
      </w:r>
      <w:r w:rsidR="00BA3D28" w:rsidRPr="00AF38A8">
        <w:rPr>
          <w:rFonts w:asciiTheme="minorHAnsi" w:eastAsia="Times New Roman" w:hAnsiTheme="minorHAnsi" w:cstheme="minorHAnsi"/>
          <w:sz w:val="24"/>
          <w:szCs w:val="24"/>
        </w:rPr>
        <w:t>(ex art. 1, comma 17 della l. 190/2012) e, inoltre, dichiara ed attesta:</w:t>
      </w:r>
    </w:p>
    <w:p w14:paraId="5B077590" w14:textId="08ADDE93" w:rsidR="0076366E" w:rsidRPr="00AF38A8" w:rsidRDefault="00BA3D28" w:rsidP="00BD1359">
      <w:pPr>
        <w:numPr>
          <w:ilvl w:val="1"/>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di essere iscritto nell’Elenco speciale dei professionisti ex art. 34 del </w:t>
      </w:r>
      <w:r w:rsidR="004C6A1E" w:rsidRPr="00AF38A8">
        <w:rPr>
          <w:rFonts w:asciiTheme="minorHAnsi" w:eastAsia="Times New Roman" w:hAnsiTheme="minorHAnsi" w:cstheme="minorHAnsi"/>
          <w:sz w:val="24"/>
          <w:szCs w:val="24"/>
        </w:rPr>
        <w:t>decreto-legge n</w:t>
      </w:r>
      <w:r w:rsidRPr="00AF38A8">
        <w:rPr>
          <w:rFonts w:asciiTheme="minorHAnsi" w:eastAsia="Times New Roman" w:hAnsiTheme="minorHAnsi" w:cstheme="minorHAnsi"/>
          <w:sz w:val="24"/>
          <w:szCs w:val="24"/>
        </w:rPr>
        <w:t xml:space="preserve">. 189/2016 e Ordinanza n. 12 del 9 gennaio 2017 e loro </w:t>
      </w:r>
      <w:proofErr w:type="spellStart"/>
      <w:r w:rsidRPr="00AF38A8">
        <w:rPr>
          <w:rFonts w:asciiTheme="minorHAnsi" w:eastAsia="Times New Roman" w:hAnsiTheme="minorHAnsi" w:cstheme="minorHAnsi"/>
          <w:sz w:val="24"/>
          <w:szCs w:val="24"/>
        </w:rPr>
        <w:t>ss.mm.ii</w:t>
      </w:r>
      <w:proofErr w:type="spellEnd"/>
      <w:r w:rsidRPr="00AF38A8">
        <w:rPr>
          <w:rFonts w:asciiTheme="minorHAnsi" w:eastAsia="Times New Roman" w:hAnsiTheme="minorHAnsi" w:cstheme="minorHAnsi"/>
          <w:sz w:val="24"/>
          <w:szCs w:val="24"/>
        </w:rPr>
        <w:t>. (ribadito all’art. 3 dell’Ordinanza del Commissario straordinario n. 33/2017) o di aver presentato domanda di iscrizione al medesimo elenco, da comprovare mediante dichiarazione sostitutiva di cui agli articoli 46 e 47 del D.P.R. 445 del 2000, fatto salvo il buon esito della stessa prima dell’aggiudicazione disposta ai sensi dell’articolo 32, comma 5, del decreto legislativo 50 del 2016.</w:t>
      </w:r>
    </w:p>
    <w:p w14:paraId="4336195C" w14:textId="77777777" w:rsidR="00525C2E" w:rsidRPr="00AF38A8" w:rsidRDefault="00BA3D28" w:rsidP="00BD1359">
      <w:pPr>
        <w:numPr>
          <w:ilvl w:val="1"/>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 non aver superato e di non superare, nemmeno con la presente partecipazione, i limiti per l’affidamento di incarichi in relazione a servizi tecnici di cui all’art. 3 dell’Ordinanza del Commissario straordinario n. 33 dell’11 luglio 2017 ovvero di aver ottenuto l’autorizzazione in deroga prevista dalla medesima Ordinanza, che allega alla presente dichiarazione, e di non superare i limiti ivi consentiti;</w:t>
      </w:r>
    </w:p>
    <w:p w14:paraId="22367315" w14:textId="25630EF3" w:rsidR="00606CF6" w:rsidRPr="00AF38A8" w:rsidRDefault="00606CF6"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 accettare le clausole di cui all’articolo 5 del vigente ”Accordo per l’esercizio dei compiti di alta sorveglianza e di garanzia della correttezza e della trasparenza delle procedure connesse alla ricostruzione pubblica post sisma”</w:t>
      </w:r>
      <w:r w:rsidR="00A71794">
        <w:rPr>
          <w:rFonts w:asciiTheme="minorHAnsi" w:eastAsia="Times New Roman" w:hAnsiTheme="minorHAnsi" w:cstheme="minorHAnsi"/>
          <w:sz w:val="24"/>
          <w:szCs w:val="24"/>
        </w:rPr>
        <w:t>, riportate al successivo punto 15.5</w:t>
      </w:r>
      <w:r w:rsidRPr="00AF38A8">
        <w:rPr>
          <w:rFonts w:asciiTheme="minorHAnsi" w:eastAsia="Times New Roman" w:hAnsiTheme="minorHAnsi" w:cstheme="minorHAnsi"/>
          <w:sz w:val="24"/>
          <w:szCs w:val="24"/>
        </w:rPr>
        <w:t>;</w:t>
      </w:r>
    </w:p>
    <w:p w14:paraId="5988ECCD" w14:textId="7FBF2936"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CCNL applicato al personale dipendente impiegato nell’appalto con l’indicazione del relativo codice alfanumerico unico di cui all’articolo 16 quater del decreto legge 76/</w:t>
      </w:r>
      <w:r w:rsidR="00AC7561" w:rsidRPr="00AF38A8">
        <w:rPr>
          <w:rFonts w:asciiTheme="minorHAnsi" w:eastAsia="Times New Roman" w:hAnsiTheme="minorHAnsi" w:cstheme="minorHAnsi"/>
          <w:sz w:val="24"/>
          <w:szCs w:val="24"/>
        </w:rPr>
        <w:t>20</w:t>
      </w:r>
      <w:r w:rsidR="004C6A1E" w:rsidRPr="00AF38A8">
        <w:rPr>
          <w:rFonts w:asciiTheme="minorHAnsi" w:eastAsia="Times New Roman" w:hAnsiTheme="minorHAnsi" w:cstheme="minorHAnsi"/>
          <w:sz w:val="24"/>
          <w:szCs w:val="24"/>
        </w:rPr>
        <w:t>20</w:t>
      </w:r>
      <w:r w:rsidR="00AC7561" w:rsidRPr="00AF38A8">
        <w:rPr>
          <w:rFonts w:asciiTheme="minorHAnsi" w:eastAsia="Times New Roman" w:hAnsiTheme="minorHAnsi" w:cstheme="minorHAnsi"/>
          <w:sz w:val="24"/>
          <w:szCs w:val="24"/>
        </w:rPr>
        <w:t>;</w:t>
      </w:r>
      <w:r w:rsidR="00066FEA" w:rsidRPr="00AF38A8">
        <w:rPr>
          <w:rFonts w:asciiTheme="minorHAnsi" w:eastAsia="Times New Roman" w:hAnsiTheme="minorHAnsi" w:cstheme="minorHAnsi"/>
          <w:sz w:val="24"/>
          <w:szCs w:val="24"/>
        </w:rPr>
        <w:t xml:space="preserve"> </w:t>
      </w:r>
    </w:p>
    <w:p w14:paraId="6C2D3881" w14:textId="480462A5" w:rsidR="0076366E" w:rsidRPr="00AF38A8" w:rsidRDefault="00C03661"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 </w:t>
      </w:r>
      <w:r w:rsidR="00BA3D28" w:rsidRPr="00AF38A8">
        <w:rPr>
          <w:rFonts w:asciiTheme="minorHAnsi" w:eastAsia="Times New Roman" w:hAnsiTheme="minorHAnsi" w:cstheme="minorHAnsi"/>
          <w:sz w:val="24"/>
          <w:szCs w:val="24"/>
        </w:rPr>
        <w:t>[</w:t>
      </w:r>
      <w:r w:rsidR="00BA3D28" w:rsidRPr="00AF38A8">
        <w:rPr>
          <w:rFonts w:asciiTheme="minorHAnsi" w:eastAsia="Times New Roman" w:hAnsiTheme="minorHAnsi" w:cstheme="minorHAnsi"/>
          <w:i/>
          <w:sz w:val="24"/>
          <w:szCs w:val="24"/>
        </w:rPr>
        <w:t>Se prevista la clausola sociale per le pari opportunità generazionali, di genere e di inclusione lavorativa per le persone con disabilità o svantaggiate</w:t>
      </w:r>
      <w:r w:rsidR="00BA3D28" w:rsidRPr="00AF38A8">
        <w:rPr>
          <w:rFonts w:asciiTheme="minorHAnsi" w:eastAsia="Times New Roman" w:hAnsiTheme="minorHAnsi" w:cstheme="minorHAnsi"/>
          <w:sz w:val="24"/>
          <w:szCs w:val="24"/>
        </w:rPr>
        <w:t xml:space="preserve">] di garantire, secondo quanto indicato all’articolo </w:t>
      </w:r>
      <w:hyperlink w:anchor="_heading=h.2jh5peh">
        <w:r w:rsidR="00BA3D28" w:rsidRPr="00AF38A8">
          <w:rPr>
            <w:rFonts w:asciiTheme="minorHAnsi" w:eastAsia="Times New Roman" w:hAnsiTheme="minorHAnsi" w:cstheme="minorHAnsi"/>
            <w:sz w:val="24"/>
            <w:szCs w:val="24"/>
          </w:rPr>
          <w:t>9</w:t>
        </w:r>
      </w:hyperlink>
      <w:r w:rsidR="00BA3D28" w:rsidRPr="00AF38A8">
        <w:rPr>
          <w:rFonts w:asciiTheme="minorHAnsi" w:eastAsia="Times New Roman" w:hAnsiTheme="minorHAnsi" w:cstheme="minorHAnsi"/>
          <w:sz w:val="24"/>
          <w:szCs w:val="24"/>
        </w:rPr>
        <w:t>,… [</w:t>
      </w:r>
      <w:r w:rsidR="00BA3D28" w:rsidRPr="00AF38A8">
        <w:rPr>
          <w:rFonts w:asciiTheme="minorHAnsi" w:eastAsia="Times New Roman" w:hAnsiTheme="minorHAnsi" w:cstheme="minorHAnsi"/>
          <w:i/>
          <w:sz w:val="24"/>
          <w:szCs w:val="24"/>
        </w:rPr>
        <w:t>completare</w:t>
      </w:r>
      <w:r w:rsidR="00BA3D28" w:rsidRPr="00AF38A8">
        <w:rPr>
          <w:rFonts w:asciiTheme="minorHAnsi" w:eastAsia="Times New Roman" w:hAnsiTheme="minorHAnsi" w:cstheme="minorHAnsi"/>
          <w:sz w:val="24"/>
          <w:szCs w:val="24"/>
        </w:rPr>
        <w:t>].</w:t>
      </w:r>
    </w:p>
    <w:p w14:paraId="1DDD904C" w14:textId="2A288719"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Se richiesti requisiti particolari per l'esecuzione del contratto ai sensi dell’art. 113 del Codice</w:t>
      </w:r>
      <w:r w:rsidRPr="00AF38A8">
        <w:rPr>
          <w:rFonts w:asciiTheme="minorHAnsi" w:eastAsia="Times New Roman" w:hAnsiTheme="minorHAnsi" w:cstheme="minorHAnsi"/>
          <w:sz w:val="24"/>
          <w:szCs w:val="24"/>
        </w:rPr>
        <w:t xml:space="preserve">] di accettare, in caso di aggiudicazione, i requisiti particolari indicati all’articolo </w:t>
      </w:r>
      <w:hyperlink w:anchor="_heading=h.40ew0vw">
        <w:r w:rsidR="00525C2E" w:rsidRPr="00AF38A8">
          <w:rPr>
            <w:rFonts w:asciiTheme="minorHAnsi" w:eastAsia="Times New Roman" w:hAnsiTheme="minorHAnsi" w:cstheme="minorHAnsi"/>
            <w:sz w:val="24"/>
            <w:szCs w:val="24"/>
          </w:rPr>
          <w:t>9</w:t>
        </w:r>
        <w:r w:rsidRPr="00AF38A8">
          <w:rPr>
            <w:rFonts w:asciiTheme="minorHAnsi" w:eastAsia="Times New Roman" w:hAnsiTheme="minorHAnsi" w:cstheme="minorHAnsi"/>
            <w:sz w:val="24"/>
            <w:szCs w:val="24"/>
          </w:rPr>
          <w:t>;</w:t>
        </w:r>
      </w:hyperlink>
    </w:p>
    <w:p w14:paraId="42D97415" w14:textId="77777777"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obbligatorio nel caso di acquisti rientranti nelle categorie espressamente individuate dal “Piano d’azione nazionale per la sostenibilità ambientale dei consumi della Pubblica Amministrazione”, facoltativo negli altri casi</w:t>
      </w:r>
      <w:r w:rsidRPr="00AF38A8">
        <w:rPr>
          <w:rFonts w:asciiTheme="minorHAnsi" w:eastAsia="Times New Roman" w:hAnsiTheme="minorHAnsi" w:cstheme="minorHAnsi"/>
          <w:sz w:val="24"/>
          <w:szCs w:val="24"/>
        </w:rPr>
        <w:t>] di impegnarsi a sottoscrivere la dichiarazione di conformità agli standard sociali minimi di cui all’allegato I al decreto del Ministero dell’Ambiente e della Tutela del Territorio e del Mare del 6 giugno 2012;</w:t>
      </w:r>
    </w:p>
    <w:p w14:paraId="2B4715FC" w14:textId="77777777"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 essere edotto degli obblighi derivanti dal Codice di comportamento adottato dalla stazione appaltante … reperibile a … [</w:t>
      </w:r>
      <w:r w:rsidRPr="00AF38A8">
        <w:rPr>
          <w:rFonts w:asciiTheme="minorHAnsi" w:eastAsia="Times New Roman" w:hAnsiTheme="minorHAnsi" w:cstheme="minorHAnsi"/>
          <w:i/>
          <w:sz w:val="24"/>
          <w:szCs w:val="24"/>
        </w:rPr>
        <w:t>indicare gli estremi del Codice di comportamento e dove reperirlo</w:t>
      </w:r>
      <w:r w:rsidRPr="00AF38A8">
        <w:rPr>
          <w:rFonts w:asciiTheme="minorHAnsi" w:eastAsia="Times New Roman" w:hAnsiTheme="minorHAnsi" w:cstheme="minorHAnsi"/>
          <w:sz w:val="24"/>
          <w:szCs w:val="24"/>
        </w:rPr>
        <w:t>] e di impegnarsi, in caso di aggiudicazione, ad osservare e a far osservare ai propri dipendenti e collaboratori, per quanto applicabile, il suddetto codice, pena la risoluzione del contratto;</w:t>
      </w:r>
    </w:p>
    <w:p w14:paraId="61231B8B" w14:textId="77777777"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1AE489C7" w14:textId="77777777"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per gli operatori economici non residenti e privi di stabile organizzazione in Italia, il domicilio fiscale …, il codice fiscale …, la partita IVA …, l’indirizzo di posta elettronica certificata o </w:t>
      </w:r>
      <w:r w:rsidRPr="00AF38A8">
        <w:rPr>
          <w:rFonts w:asciiTheme="minorHAnsi" w:eastAsia="Times New Roman" w:hAnsiTheme="minorHAnsi" w:cstheme="minorHAnsi"/>
          <w:sz w:val="24"/>
          <w:szCs w:val="24"/>
        </w:rPr>
        <w:lastRenderedPageBreak/>
        <w:t>strumento analogo negli altri Stati Membri, ai fini delle comunicazioni di cui all’articolo 90 del Codice;</w:t>
      </w:r>
    </w:p>
    <w:p w14:paraId="4C864872" w14:textId="77777777" w:rsidR="0076366E" w:rsidRPr="00AF38A8" w:rsidRDefault="00BA3D28" w:rsidP="00BD135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 aver preso visione e di accettare il trattamento dei dati personali.</w:t>
      </w:r>
    </w:p>
    <w:p w14:paraId="56961D3F"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7ECDFF0"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domanda e le relative dichiarazioni sono sottoscritte ai sensi del decreto legislativo n. 82/2005:</w:t>
      </w:r>
    </w:p>
    <w:p w14:paraId="3557E32A"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dal concorrente che partecipa in forma singola;</w:t>
      </w:r>
    </w:p>
    <w:p w14:paraId="07B28818"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di raggruppamento temporaneo o consorzio ordinario o GEIE costituiti, dalla mandataria/capofila;</w:t>
      </w:r>
    </w:p>
    <w:p w14:paraId="671BBF48"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di raggruppamento temporaneo o consorzio ordinario o GEIE non ancora costituiti, da tutti i soggetti che costituiranno il raggruppamento o il consorzio o il gruppo;</w:t>
      </w:r>
    </w:p>
    <w:p w14:paraId="2E8620B2"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di aggregazioni di retisti:</w:t>
      </w:r>
    </w:p>
    <w:p w14:paraId="6AA129F3" w14:textId="77777777" w:rsidR="0076366E" w:rsidRPr="00AF38A8" w:rsidRDefault="00BA3D28" w:rsidP="00BD1359">
      <w:pPr>
        <w:numPr>
          <w:ilvl w:val="0"/>
          <w:numId w:val="1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rete è dotata di un organo comune con potere di rappresentanza e con soggettività giuridica, ai sensi dell’articolo 3, comma 4-quater, del decreto legge 10 febbraio 2009, n. 5, la domanda di partecipazione deve essere sottoscritta dal solo operatore economico che riveste la funzione di organo comune;</w:t>
      </w:r>
    </w:p>
    <w:p w14:paraId="43D32E96" w14:textId="77777777" w:rsidR="0076366E" w:rsidRPr="00AF38A8" w:rsidRDefault="00BA3D28" w:rsidP="00BD1359">
      <w:pPr>
        <w:numPr>
          <w:ilvl w:val="0"/>
          <w:numId w:val="1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rete è dotata di un organo comune con potere di rappresentanza ma è priva di soggettività giuridica, ai sensi dell’articolo 3, comma 4-quater, del decreto legge 10 febbraio 2009, n. 5, la domanda di partecipazione deve essere sottoscritta dall’impresa che riveste le funzioni di organo comune nonché da ognuno dei retisti che partecipa alla gara;</w:t>
      </w:r>
    </w:p>
    <w:p w14:paraId="17AF0C22" w14:textId="77777777" w:rsidR="0076366E" w:rsidRPr="00AF38A8" w:rsidRDefault="00BA3D28" w:rsidP="00BD1359">
      <w:pPr>
        <w:numPr>
          <w:ilvl w:val="0"/>
          <w:numId w:val="1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w:t>
      </w:r>
    </w:p>
    <w:p w14:paraId="31712D73" w14:textId="756E6CE0"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40" w:name="_Hlk139559426"/>
      <w:r w:rsidRPr="00AF38A8">
        <w:rPr>
          <w:rFonts w:asciiTheme="minorHAnsi" w:eastAsia="Times New Roman" w:hAnsiTheme="minorHAnsi" w:cstheme="minorHAnsi"/>
          <w:sz w:val="24"/>
          <w:szCs w:val="24"/>
        </w:rPr>
        <w:t>nel caso di consorzi stabili di cui all’articolo 66</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1</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g) </w:t>
      </w:r>
      <w:r w:rsidR="00A71794">
        <w:rPr>
          <w:rFonts w:asciiTheme="minorHAnsi" w:eastAsia="Times New Roman" w:hAnsiTheme="minorHAnsi" w:cstheme="minorHAnsi"/>
          <w:sz w:val="24"/>
          <w:szCs w:val="24"/>
        </w:rPr>
        <w:t xml:space="preserve">del Codice </w:t>
      </w:r>
      <w:r w:rsidRPr="00AF38A8">
        <w:rPr>
          <w:rFonts w:asciiTheme="minorHAnsi" w:eastAsia="Times New Roman" w:hAnsiTheme="minorHAnsi" w:cstheme="minorHAnsi"/>
          <w:sz w:val="24"/>
          <w:szCs w:val="24"/>
        </w:rPr>
        <w:t>la domanda è sottoscritta digitalmente dal consorzio medesimo.</w:t>
      </w:r>
    </w:p>
    <w:bookmarkEnd w:id="140"/>
    <w:p w14:paraId="5DE957FD"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domanda e le relative dichiarazioni sono firmate dal legale rappresentante del concorrente o da un suo procuratore munito della relativa procura. In tal caso, il concorrente allega alla domanda copia conforme all’originale della procura. Non è necessario allegare la procura se dalla visura camerale del concorrente risulti l’indicazione espressa dei poteri rappresentativi conferiti al procuratore.</w:t>
      </w:r>
    </w:p>
    <w:p w14:paraId="5BE15C20" w14:textId="77777777" w:rsidR="0076366E" w:rsidRPr="00AF38A8" w:rsidRDefault="0076366E" w:rsidP="00BD1359">
      <w:pPr>
        <w:pBdr>
          <w:top w:val="nil"/>
          <w:left w:val="nil"/>
          <w:bottom w:val="nil"/>
          <w:right w:val="nil"/>
          <w:between w:val="nil"/>
        </w:pBdr>
        <w:spacing w:line="276" w:lineRule="auto"/>
        <w:ind w:left="227"/>
        <w:jc w:val="both"/>
        <w:rPr>
          <w:rFonts w:asciiTheme="minorHAnsi" w:eastAsia="Times New Roman" w:hAnsiTheme="minorHAnsi" w:cstheme="minorHAnsi"/>
          <w:sz w:val="24"/>
          <w:szCs w:val="24"/>
        </w:rPr>
      </w:pPr>
    </w:p>
    <w:p w14:paraId="2BE7B507" w14:textId="77777777" w:rsidR="0076366E" w:rsidRPr="00B842C8" w:rsidRDefault="00BA3D28"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B842C8">
        <w:rPr>
          <w:rFonts w:ascii="Titillium" w:hAnsi="Titillium"/>
          <w:i/>
          <w:sz w:val="18"/>
          <w:szCs w:val="18"/>
        </w:rPr>
        <w:t>N.B. Nel caso di suddivisione della gara in lotti in cui sono previsti criteri di selezione diversi, le dichiarazioni sono rese con riferimento a ciascun lotto cui si intende partecipare. Se vi sono lotti per i quali sono previsti i medesimi criteri di selezione, la stazione appaltante può prevedere la presentazione di un’unica dichiarazione. Qualora la piattaforma utilizzata dalla stazione appaltante preveda che in caso di partecipazione di operatori riuniti o associati vengano autogenerate tante domande di partecipazione quanti sono i componenti del raggruppamento/ consorzio ordinario l’amministrazione definisce le modalità di presentazione e sottoscrizione delle stesse</w:t>
      </w:r>
    </w:p>
    <w:p w14:paraId="41DF1527" w14:textId="36C96090" w:rsidR="0076366E"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68A35CC" w14:textId="77777777" w:rsidR="00117522" w:rsidRPr="00BA3D28" w:rsidRDefault="00117522"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9C73D95" w14:textId="77777777" w:rsidR="0076366E" w:rsidRPr="00AF38A8" w:rsidRDefault="00BA3D28" w:rsidP="00BD1359">
      <w:pPr>
        <w:pStyle w:val="Titolo1"/>
        <w:numPr>
          <w:ilvl w:val="1"/>
          <w:numId w:val="18"/>
        </w:numPr>
        <w:spacing w:line="276" w:lineRule="auto"/>
        <w:jc w:val="both"/>
        <w:rPr>
          <w:rFonts w:asciiTheme="minorHAnsi" w:eastAsia="Times New Roman" w:hAnsiTheme="minorHAnsi" w:cstheme="minorHAnsi"/>
          <w:sz w:val="24"/>
          <w:szCs w:val="24"/>
        </w:rPr>
      </w:pPr>
      <w:bookmarkStart w:id="141" w:name="_heading=h.1a346fx" w:colFirst="0" w:colLast="0"/>
      <w:bookmarkStart w:id="142" w:name="_Toc139277045"/>
      <w:bookmarkStart w:id="143" w:name="_Toc140929840"/>
      <w:bookmarkStart w:id="144" w:name="_Toc141027282"/>
      <w:bookmarkEnd w:id="141"/>
      <w:r w:rsidRPr="00AF38A8">
        <w:rPr>
          <w:rFonts w:asciiTheme="minorHAnsi" w:eastAsia="Times New Roman" w:hAnsiTheme="minorHAnsi" w:cstheme="minorHAnsi"/>
          <w:sz w:val="24"/>
          <w:szCs w:val="24"/>
        </w:rPr>
        <w:lastRenderedPageBreak/>
        <w:t>Dichiarazioni da rendere a cura degli operatori economici ammessi al concordato preventivo con continuità aziendale di cui all’articolo 372 del d.lgs. 12 gennaio 2019 , n. 14</w:t>
      </w:r>
      <w:bookmarkEnd w:id="142"/>
      <w:bookmarkEnd w:id="143"/>
      <w:bookmarkEnd w:id="144"/>
    </w:p>
    <w:p w14:paraId="4B927610" w14:textId="2B910160"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concorrente dichiara</w:t>
      </w:r>
      <w:r w:rsidR="0074583F">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ai sensi degli articoli 46 e 47 del decreto del Presidente della Repubblica n. 445/2000</w:t>
      </w:r>
      <w:r w:rsidR="0074583F">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gli estremi del provvedimento di ammissione al concordato e del provvedimento di autorizzazione a partecipare alle gare, nonché dichiara che le altre imprese aderenti al raggruppamento non sono assoggettate ad una procedura concorsuale, ai sensi dell’articolo 95, commi 4 e 5, del decreto legislativo n. 14/2019</w:t>
      </w:r>
    </w:p>
    <w:p w14:paraId="4CC82418" w14:textId="44A0286E"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concorrente presenta una relazione di un professionista in possesso dei requisiti di cui </w:t>
      </w:r>
      <w:r w:rsidR="00A16751" w:rsidRPr="00AF38A8">
        <w:rPr>
          <w:rFonts w:asciiTheme="minorHAnsi" w:eastAsia="Times New Roman" w:hAnsiTheme="minorHAnsi" w:cstheme="minorHAnsi"/>
          <w:sz w:val="24"/>
          <w:szCs w:val="24"/>
        </w:rPr>
        <w:t>all</w:t>
      </w:r>
      <w:r w:rsidR="0074583F">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articolo 2, comma 1, lettera o)</w:t>
      </w:r>
      <w:r w:rsidR="0074583F">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decreto legislativo succitato che attesta la conformità al piano e la ragionevole capacità di adempimento del contratto.</w:t>
      </w:r>
    </w:p>
    <w:p w14:paraId="351D9638"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45" w:name="_Toc139277046"/>
    </w:p>
    <w:p w14:paraId="4B18B297" w14:textId="77777777" w:rsidR="0076366E" w:rsidRPr="00AF38A8" w:rsidRDefault="00BA3D28" w:rsidP="00BD1359">
      <w:pPr>
        <w:pStyle w:val="Titolo1"/>
        <w:numPr>
          <w:ilvl w:val="1"/>
          <w:numId w:val="18"/>
        </w:numPr>
        <w:spacing w:line="276" w:lineRule="auto"/>
        <w:jc w:val="both"/>
        <w:rPr>
          <w:rFonts w:asciiTheme="minorHAnsi" w:eastAsia="Times New Roman" w:hAnsiTheme="minorHAnsi" w:cstheme="minorHAnsi"/>
          <w:sz w:val="24"/>
          <w:szCs w:val="24"/>
        </w:rPr>
      </w:pPr>
      <w:bookmarkStart w:id="146" w:name="bookmark=id.4k668n3" w:colFirst="0" w:colLast="0"/>
      <w:bookmarkStart w:id="147" w:name="_Toc140929841"/>
      <w:bookmarkStart w:id="148" w:name="_Toc141027283"/>
      <w:bookmarkEnd w:id="146"/>
      <w:r w:rsidRPr="00AF38A8">
        <w:rPr>
          <w:rFonts w:asciiTheme="minorHAnsi" w:eastAsia="Times New Roman" w:hAnsiTheme="minorHAnsi" w:cstheme="minorHAnsi"/>
          <w:sz w:val="24"/>
          <w:szCs w:val="24"/>
        </w:rPr>
        <w:t>Documentazione in caso di avvalimento</w:t>
      </w:r>
      <w:bookmarkEnd w:id="145"/>
      <w:bookmarkEnd w:id="147"/>
      <w:bookmarkEnd w:id="148"/>
    </w:p>
    <w:p w14:paraId="554A7C5B" w14:textId="77777777" w:rsidR="00F667BD" w:rsidRPr="00F667BD" w:rsidRDefault="00F667BD" w:rsidP="00BD1359">
      <w:pPr>
        <w:pBdr>
          <w:top w:val="nil"/>
          <w:left w:val="nil"/>
          <w:bottom w:val="nil"/>
          <w:right w:val="nil"/>
          <w:between w:val="nil"/>
        </w:pBdr>
        <w:spacing w:line="276" w:lineRule="auto"/>
        <w:jc w:val="both"/>
        <w:rPr>
          <w:rFonts w:ascii="Calibri" w:eastAsia="Times New Roman" w:hAnsi="Calibri" w:cs="Calibri"/>
          <w:sz w:val="24"/>
          <w:szCs w:val="24"/>
        </w:rPr>
      </w:pPr>
      <w:r w:rsidRPr="00F667BD">
        <w:rPr>
          <w:rFonts w:ascii="Calibri" w:eastAsia="Times New Roman" w:hAnsi="Calibri" w:cs="Calibri"/>
          <w:sz w:val="24"/>
          <w:szCs w:val="24"/>
        </w:rPr>
        <w:t xml:space="preserve">L’impresa ausiliaria rende le dichiarazioni sul possesso dei requisiti di ordine generale mediante compilazione dell’apposita sezione del DGUE. </w:t>
      </w:r>
    </w:p>
    <w:p w14:paraId="25919916" w14:textId="77777777" w:rsidR="00F667BD" w:rsidRPr="00F667BD" w:rsidRDefault="00F667BD" w:rsidP="00BD1359">
      <w:pPr>
        <w:pBdr>
          <w:top w:val="nil"/>
          <w:left w:val="nil"/>
          <w:bottom w:val="nil"/>
          <w:right w:val="nil"/>
          <w:between w:val="nil"/>
        </w:pBdr>
        <w:spacing w:line="276" w:lineRule="auto"/>
        <w:jc w:val="both"/>
        <w:rPr>
          <w:rFonts w:ascii="Calibri" w:eastAsia="Times New Roman" w:hAnsi="Calibri" w:cs="Calibri"/>
          <w:sz w:val="24"/>
          <w:szCs w:val="24"/>
        </w:rPr>
      </w:pPr>
      <w:r w:rsidRPr="00F667BD">
        <w:rPr>
          <w:rFonts w:ascii="Calibri" w:eastAsia="Times New Roman" w:hAnsi="Calibri" w:cs="Calibri"/>
          <w:sz w:val="24"/>
          <w:szCs w:val="24"/>
        </w:rPr>
        <w:t>Il concorrente, per ciascuna ausiliaria, allega:</w:t>
      </w:r>
    </w:p>
    <w:p w14:paraId="5DAA954A" w14:textId="77777777" w:rsidR="00F667BD" w:rsidRPr="00F667BD" w:rsidRDefault="00F667BD" w:rsidP="00BD1359">
      <w:pPr>
        <w:pStyle w:val="Paragrafoelenco"/>
        <w:widowControl/>
        <w:numPr>
          <w:ilvl w:val="2"/>
          <w:numId w:val="32"/>
        </w:numPr>
        <w:spacing w:before="60" w:after="60" w:line="276" w:lineRule="auto"/>
        <w:ind w:left="567" w:hanging="567"/>
        <w:jc w:val="both"/>
        <w:rPr>
          <w:rFonts w:ascii="Calibri" w:hAnsi="Calibri" w:cs="Calibri"/>
          <w:sz w:val="24"/>
          <w:szCs w:val="24"/>
        </w:rPr>
      </w:pPr>
      <w:r w:rsidRPr="00F667BD">
        <w:rPr>
          <w:rFonts w:ascii="Calibri" w:hAnsi="Calibri" w:cs="Calibri"/>
          <w:b/>
          <w:bCs/>
          <w:i/>
          <w:iCs/>
          <w:sz w:val="24"/>
          <w:szCs w:val="24"/>
        </w:rPr>
        <w:t>[fino al 31 dicembre 2023]</w:t>
      </w:r>
      <w:r w:rsidRPr="00F667BD">
        <w:rPr>
          <w:rFonts w:ascii="Calibri" w:hAnsi="Calibri" w:cs="Calibri"/>
          <w:sz w:val="24"/>
          <w:szCs w:val="24"/>
        </w:rPr>
        <w:t xml:space="preserve"> il PASSOE dell’ausiliaria,</w:t>
      </w:r>
    </w:p>
    <w:p w14:paraId="742E2FD7" w14:textId="77777777" w:rsidR="00F667BD" w:rsidRPr="00F667BD" w:rsidRDefault="00F667BD" w:rsidP="00BD1359">
      <w:pPr>
        <w:pStyle w:val="Paragrafoelenco"/>
        <w:widowControl/>
        <w:numPr>
          <w:ilvl w:val="2"/>
          <w:numId w:val="32"/>
        </w:numPr>
        <w:spacing w:before="60" w:after="60" w:line="276" w:lineRule="auto"/>
        <w:ind w:left="567" w:hanging="567"/>
        <w:jc w:val="both"/>
        <w:rPr>
          <w:rFonts w:ascii="Calibri" w:hAnsi="Calibri" w:cs="Calibri"/>
          <w:sz w:val="24"/>
          <w:szCs w:val="24"/>
        </w:rPr>
      </w:pPr>
      <w:r w:rsidRPr="00F667BD">
        <w:rPr>
          <w:rFonts w:ascii="Calibri" w:hAnsi="Calibri" w:cs="Calibri"/>
          <w:sz w:val="24"/>
          <w:szCs w:val="24"/>
        </w:rPr>
        <w:t>la dichiarazione di avvalimento;</w:t>
      </w:r>
    </w:p>
    <w:p w14:paraId="2AEE43E4" w14:textId="77777777" w:rsidR="00F667BD" w:rsidRPr="00F667BD" w:rsidRDefault="00F667BD" w:rsidP="00BD1359">
      <w:pPr>
        <w:pStyle w:val="Paragrafoelenco"/>
        <w:widowControl/>
        <w:numPr>
          <w:ilvl w:val="2"/>
          <w:numId w:val="32"/>
        </w:numPr>
        <w:spacing w:before="60" w:after="60" w:line="276" w:lineRule="auto"/>
        <w:ind w:left="567" w:hanging="567"/>
        <w:jc w:val="both"/>
        <w:rPr>
          <w:rFonts w:ascii="Calibri" w:hAnsi="Calibri" w:cs="Calibri"/>
          <w:sz w:val="24"/>
          <w:szCs w:val="24"/>
        </w:rPr>
      </w:pPr>
      <w:r w:rsidRPr="00F667BD">
        <w:rPr>
          <w:rFonts w:ascii="Calibri" w:hAnsi="Calibri" w:cs="Calibri"/>
          <w:sz w:val="24"/>
          <w:szCs w:val="24"/>
        </w:rPr>
        <w:t>il contratto di avvalimento;</w:t>
      </w:r>
    </w:p>
    <w:p w14:paraId="11AF542D" w14:textId="77777777" w:rsidR="00F667BD" w:rsidRPr="00F667BD" w:rsidRDefault="00F667BD" w:rsidP="00BD1359">
      <w:pPr>
        <w:spacing w:before="60" w:after="60" w:line="276" w:lineRule="auto"/>
        <w:rPr>
          <w:rFonts w:ascii="Calibri" w:hAnsi="Calibri" w:cs="Calibri"/>
          <w:sz w:val="24"/>
          <w:szCs w:val="24"/>
        </w:rPr>
      </w:pPr>
      <w:r w:rsidRPr="00F667BD">
        <w:rPr>
          <w:rFonts w:ascii="Calibri" w:hAnsi="Calibri" w:cs="Calibri"/>
          <w:sz w:val="24"/>
          <w:szCs w:val="24"/>
        </w:rPr>
        <w:t>Nel caso di avvalimento finalizzato al miglioramento dell’offerta, il contratto di avvalimento è presentato nell’offerta tecnica.</w:t>
      </w:r>
    </w:p>
    <w:p w14:paraId="7644DFDC" w14:textId="77777777" w:rsidR="0076366E" w:rsidRPr="00AF38A8" w:rsidRDefault="0076366E" w:rsidP="00BD1359">
      <w:pPr>
        <w:spacing w:line="276" w:lineRule="auto"/>
        <w:jc w:val="both"/>
        <w:rPr>
          <w:rFonts w:asciiTheme="minorHAnsi" w:eastAsia="Times New Roman" w:hAnsiTheme="minorHAnsi" w:cstheme="minorHAnsi"/>
          <w:sz w:val="24"/>
          <w:szCs w:val="24"/>
        </w:rPr>
      </w:pPr>
    </w:p>
    <w:p w14:paraId="4B4CE2C6" w14:textId="77777777" w:rsidR="0076366E" w:rsidRPr="00AF38A8" w:rsidRDefault="00BA3D28" w:rsidP="00BD1359">
      <w:pPr>
        <w:pStyle w:val="Titolo1"/>
        <w:numPr>
          <w:ilvl w:val="1"/>
          <w:numId w:val="18"/>
        </w:numPr>
        <w:spacing w:line="276" w:lineRule="auto"/>
        <w:jc w:val="both"/>
        <w:rPr>
          <w:rFonts w:asciiTheme="minorHAnsi" w:eastAsia="Times New Roman" w:hAnsiTheme="minorHAnsi" w:cstheme="minorHAnsi"/>
          <w:sz w:val="24"/>
          <w:szCs w:val="24"/>
        </w:rPr>
      </w:pPr>
      <w:bookmarkStart w:id="149" w:name="bookmark=id.1egqt2p" w:colFirst="0" w:colLast="0"/>
      <w:bookmarkEnd w:id="149"/>
      <w:r w:rsidRPr="00AF38A8">
        <w:rPr>
          <w:rFonts w:asciiTheme="minorHAnsi" w:eastAsia="Times New Roman" w:hAnsiTheme="minorHAnsi" w:cstheme="minorHAnsi"/>
          <w:sz w:val="24"/>
          <w:szCs w:val="24"/>
        </w:rPr>
        <w:t xml:space="preserve"> </w:t>
      </w:r>
      <w:bookmarkStart w:id="150" w:name="_Toc140929842"/>
      <w:bookmarkStart w:id="151" w:name="_Toc141027284"/>
      <w:bookmarkStart w:id="152" w:name="_Toc139277047"/>
      <w:r w:rsidRPr="00AF38A8">
        <w:rPr>
          <w:rFonts w:asciiTheme="minorHAnsi" w:eastAsia="Times New Roman" w:hAnsiTheme="minorHAnsi" w:cstheme="minorHAnsi"/>
          <w:sz w:val="24"/>
          <w:szCs w:val="24"/>
        </w:rPr>
        <w:t>Documentazione ulteriore per i soggetti associati</w:t>
      </w:r>
      <w:bookmarkEnd w:id="150"/>
      <w:bookmarkEnd w:id="151"/>
    </w:p>
    <w:bookmarkEnd w:id="152"/>
    <w:p w14:paraId="5FA4967A"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 raggruppamenti temporanei già costituiti</w:t>
      </w:r>
    </w:p>
    <w:p w14:paraId="482DAA46"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copia del mandato collettivo irrevocabile con rappresentanza conferito alla mandataria per atto pubblico o scrittura privata autenticata; </w:t>
      </w:r>
    </w:p>
    <w:p w14:paraId="1AEA251C"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delle parti del servizio, ovvero della percentuale in caso di servizi indivisibili, che saranno eseguite dai singoli operatori economici riuniti o consorziati.</w:t>
      </w:r>
    </w:p>
    <w:p w14:paraId="239E694F"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 consorzi ordinari o GEIE già costituiti</w:t>
      </w:r>
    </w:p>
    <w:p w14:paraId="0F3AAFC7"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dell’atto costitutivo e dello statuto del consorzio o GEIE, con indicazione del soggetto designato quale capofila;</w:t>
      </w:r>
    </w:p>
    <w:p w14:paraId="597621FC"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sottoscritta delle parti del servizio, ovvero la percentuale in caso di servizi/forniture indivisibili, che saranno eseguite dai singoli operatori economici consorziati.</w:t>
      </w:r>
    </w:p>
    <w:p w14:paraId="24029F55"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 raggruppamenti temporanei o consorzi ordinari o GEIE non ancora costituiti</w:t>
      </w:r>
    </w:p>
    <w:p w14:paraId="13A7511B"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rese da ciascun concorrente, attestante:</w:t>
      </w:r>
    </w:p>
    <w:p w14:paraId="14DF2864"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 quale operatore economico, in caso di aggiudicazione, sarà conferito mandato speciale con rappresentanza o funzioni di capogruppo;</w:t>
      </w:r>
    </w:p>
    <w:p w14:paraId="501D44EA"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l’impegno, in caso di aggiudicazione, ad uniformarsi alla disciplina vigente con riguardo ai raggruppamenti temporanei o consorzi o GEIE ai sensi dell’articolo 68 del Codice conferendo mandato collettivo speciale con rappresentanza all’impresa qualificata come mandataria che </w:t>
      </w:r>
      <w:r w:rsidRPr="00AF38A8">
        <w:rPr>
          <w:rFonts w:asciiTheme="minorHAnsi" w:eastAsia="Times New Roman" w:hAnsiTheme="minorHAnsi" w:cstheme="minorHAnsi"/>
          <w:sz w:val="24"/>
          <w:szCs w:val="24"/>
        </w:rPr>
        <w:lastRenderedPageBreak/>
        <w:t>stipulerà il contratto in nome e per conto delle mandanti/consorziate;</w:t>
      </w:r>
    </w:p>
    <w:p w14:paraId="0DE9B4E1"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parti del servizio, ovvero la percentuale in caso di servizio/forniture indivisibili, che saranno eseguite dai singoli operatori economici riuniti o consorziati.</w:t>
      </w:r>
    </w:p>
    <w:p w14:paraId="59CCD67B"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le aggregazioni di retisti: se la rete è dotata di un organo comune con potere di rappresentanza e soggettività giuridica</w:t>
      </w:r>
    </w:p>
    <w:p w14:paraId="224D161C"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 contratto di rete, con indicazione dell’organo comune che agisce in rappresentanza della rete.</w:t>
      </w:r>
    </w:p>
    <w:p w14:paraId="0255F975"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che indichi per quali imprese la rete concorre;</w:t>
      </w:r>
    </w:p>
    <w:p w14:paraId="374FA358"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sottoscritta con firma digitale delle parti del servizio, ovvero la percentuale in caso di servizi indivisibili, che saranno eseguite dai singoli operatori economici aggregati in rete.</w:t>
      </w:r>
    </w:p>
    <w:p w14:paraId="053A3666"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le aggregazioni di retisti: se la rete è dotata di un organo comune con potere di rappresentanza ma è priva di soggettività giuridica</w:t>
      </w:r>
    </w:p>
    <w:p w14:paraId="25459FDA"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 contratto di rete;</w:t>
      </w:r>
    </w:p>
    <w:p w14:paraId="7B123BE5"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 mandato collettivo irrevocabile con rappresentanza conferito all’organo comune;</w:t>
      </w:r>
    </w:p>
    <w:p w14:paraId="0590A7E5"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delle parti del servizio, ovvero la percentuale in caso di servizio indivisibile, che saranno eseguite dai singoli operatori economici aggregati in rete.</w:t>
      </w:r>
    </w:p>
    <w:p w14:paraId="1985BEA8"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3AEFEAEE"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caso di raggruppamento temporaneo di imprese costituito:</w:t>
      </w:r>
    </w:p>
    <w:p w14:paraId="21147345" w14:textId="77777777" w:rsidR="0076366E" w:rsidRPr="00AF38A8" w:rsidRDefault="00BA3D28" w:rsidP="00BD1359">
      <w:pPr>
        <w:numPr>
          <w:ilvl w:val="0"/>
          <w:numId w:val="1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 contratto di rete</w:t>
      </w:r>
    </w:p>
    <w:p w14:paraId="2896EA7F" w14:textId="77777777" w:rsidR="0076366E" w:rsidRPr="00AF38A8" w:rsidRDefault="00BA3D28" w:rsidP="00BD1359">
      <w:pPr>
        <w:numPr>
          <w:ilvl w:val="0"/>
          <w:numId w:val="1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 mandato collettivo irrevocabile con rappresentanza conferito alla mandataria</w:t>
      </w:r>
    </w:p>
    <w:p w14:paraId="40AEC81A" w14:textId="77777777" w:rsidR="0076366E" w:rsidRPr="00AF38A8" w:rsidRDefault="00BA3D28" w:rsidP="00BD1359">
      <w:pPr>
        <w:numPr>
          <w:ilvl w:val="0"/>
          <w:numId w:val="1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delle parti del servizio, ovvero la percentuale in caso di servizio indivisibile, che saranno eseguite dai singoli operatori economici aggregati in rete.</w:t>
      </w:r>
    </w:p>
    <w:p w14:paraId="0C3F6F9B" w14:textId="77777777" w:rsidR="0076366E" w:rsidRPr="00AF38A8" w:rsidRDefault="00BA3D28" w:rsidP="00BD135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caso di raggruppamento temporaneo di imprese costituendo:</w:t>
      </w:r>
    </w:p>
    <w:p w14:paraId="78A93ED5" w14:textId="77777777" w:rsidR="0076366E" w:rsidRPr="00AF38A8" w:rsidRDefault="00BA3D28" w:rsidP="00BD1359">
      <w:pPr>
        <w:numPr>
          <w:ilvl w:val="0"/>
          <w:numId w:val="1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 contratto di rete</w:t>
      </w:r>
    </w:p>
    <w:p w14:paraId="0FDC740F" w14:textId="77777777" w:rsidR="0076366E" w:rsidRPr="00AF38A8" w:rsidRDefault="00BA3D28" w:rsidP="00BD1359">
      <w:pPr>
        <w:numPr>
          <w:ilvl w:val="0"/>
          <w:numId w:val="1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dichiarazioni, rese da ciascun concorrente aderente all’aggregazione di rete, attestanti:</w:t>
      </w:r>
    </w:p>
    <w:p w14:paraId="175D0E89" w14:textId="77777777" w:rsidR="0076366E" w:rsidRPr="00AF38A8" w:rsidRDefault="00BA3D28" w:rsidP="00BD135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 quale concorrente, in caso di aggiudicazione, sarà conferito mandato speciale con rappresentanza o funzioni di capogruppo;</w:t>
      </w:r>
    </w:p>
    <w:p w14:paraId="43975704" w14:textId="3EE8B6A3" w:rsidR="00525C2E" w:rsidRPr="00AF38A8" w:rsidRDefault="00BA3D28" w:rsidP="00BD135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l’impegno, in caso di aggiudicazione, ad uniformarsi alla disciplina vigente in materia di raggruppamenti temporanei</w:t>
      </w:r>
      <w:r w:rsidR="00525C2E" w:rsidRPr="00AF38A8">
        <w:rPr>
          <w:rFonts w:asciiTheme="minorHAnsi" w:eastAsia="Times New Roman" w:hAnsiTheme="minorHAnsi" w:cstheme="minorHAnsi"/>
          <w:sz w:val="24"/>
          <w:szCs w:val="24"/>
        </w:rPr>
        <w:t>;</w:t>
      </w:r>
    </w:p>
    <w:p w14:paraId="5C057062" w14:textId="27B0C58C" w:rsidR="005F742A" w:rsidRPr="00AF38A8" w:rsidRDefault="00A16751" w:rsidP="00BD135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parti del servizio, ovvero la percentuale in caso di servizio indivisibile, che saranno eseguite dai singoli operatori economici aggregati in rete.</w:t>
      </w:r>
    </w:p>
    <w:p w14:paraId="64DD3233" w14:textId="77777777" w:rsidR="0076366E" w:rsidRPr="00AF38A8" w:rsidRDefault="0076366E" w:rsidP="00BD1359">
      <w:pPr>
        <w:pBdr>
          <w:top w:val="nil"/>
          <w:left w:val="nil"/>
          <w:bottom w:val="nil"/>
          <w:right w:val="nil"/>
          <w:between w:val="nil"/>
        </w:pBdr>
        <w:spacing w:line="276" w:lineRule="auto"/>
        <w:ind w:left="1440"/>
        <w:jc w:val="both"/>
        <w:rPr>
          <w:rFonts w:asciiTheme="minorHAnsi" w:eastAsia="Times New Roman" w:hAnsiTheme="minorHAnsi" w:cstheme="minorHAnsi"/>
          <w:sz w:val="24"/>
          <w:szCs w:val="24"/>
        </w:rPr>
      </w:pPr>
    </w:p>
    <w:p w14:paraId="14DBBF86" w14:textId="77777777" w:rsidR="0076366E" w:rsidRPr="00AF38A8" w:rsidRDefault="00BA3D28" w:rsidP="00BD1359">
      <w:pPr>
        <w:pStyle w:val="Titolo1"/>
        <w:numPr>
          <w:ilvl w:val="1"/>
          <w:numId w:val="18"/>
        </w:num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 </w:t>
      </w:r>
      <w:bookmarkStart w:id="153" w:name="_Toc140929843"/>
      <w:bookmarkStart w:id="154" w:name="_Toc141027285"/>
      <w:r w:rsidRPr="00AF38A8">
        <w:rPr>
          <w:rFonts w:asciiTheme="minorHAnsi" w:eastAsia="Times New Roman" w:hAnsiTheme="minorHAnsi" w:cstheme="minorHAnsi"/>
          <w:sz w:val="24"/>
          <w:szCs w:val="24"/>
        </w:rPr>
        <w:t>Misure di prevenzione della corruzione</w:t>
      </w:r>
      <w:bookmarkEnd w:id="153"/>
      <w:bookmarkEnd w:id="154"/>
    </w:p>
    <w:p w14:paraId="1943368B" w14:textId="25182772" w:rsidR="00A05C0D" w:rsidRPr="00AF38A8" w:rsidRDefault="00BA3D28" w:rsidP="00BD1359">
      <w:pPr>
        <w:pBdr>
          <w:top w:val="nil"/>
          <w:left w:val="nil"/>
          <w:bottom w:val="nil"/>
          <w:right w:val="nil"/>
          <w:between w:val="nil"/>
        </w:pBdr>
        <w:tabs>
          <w:tab w:val="left" w:pos="592"/>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Ai sensi </w:t>
      </w:r>
      <w:r w:rsidR="000A2873" w:rsidRPr="00AF38A8">
        <w:rPr>
          <w:rFonts w:asciiTheme="minorHAnsi" w:eastAsia="Times New Roman" w:hAnsiTheme="minorHAnsi" w:cstheme="minorHAnsi"/>
          <w:sz w:val="24"/>
          <w:szCs w:val="24"/>
        </w:rPr>
        <w:t>del</w:t>
      </w:r>
      <w:r w:rsidR="00CB6205" w:rsidRPr="00AF38A8">
        <w:rPr>
          <w:rFonts w:asciiTheme="minorHAnsi" w:eastAsia="Times New Roman" w:hAnsiTheme="minorHAnsi" w:cstheme="minorHAnsi"/>
          <w:sz w:val="24"/>
          <w:szCs w:val="24"/>
        </w:rPr>
        <w:t>l’articolo</w:t>
      </w:r>
      <w:r w:rsidRPr="00AF38A8">
        <w:rPr>
          <w:rFonts w:asciiTheme="minorHAnsi" w:eastAsia="Times New Roman" w:hAnsiTheme="minorHAnsi" w:cstheme="minorHAnsi"/>
          <w:sz w:val="24"/>
          <w:szCs w:val="24"/>
        </w:rPr>
        <w:t xml:space="preserve"> </w:t>
      </w:r>
      <w:r w:rsidR="00525C2E" w:rsidRPr="00AF38A8">
        <w:rPr>
          <w:rFonts w:asciiTheme="minorHAnsi" w:eastAsia="Times New Roman" w:hAnsiTheme="minorHAnsi" w:cstheme="minorHAnsi"/>
          <w:sz w:val="24"/>
          <w:szCs w:val="24"/>
        </w:rPr>
        <w:t>5</w:t>
      </w:r>
      <w:r w:rsidRPr="00AF38A8">
        <w:rPr>
          <w:rFonts w:asciiTheme="minorHAnsi" w:eastAsia="Times New Roman" w:hAnsiTheme="minorHAnsi" w:cstheme="minorHAnsi"/>
          <w:sz w:val="24"/>
          <w:szCs w:val="24"/>
        </w:rPr>
        <w:t xml:space="preserve"> </w:t>
      </w:r>
      <w:r w:rsidR="00CB6205" w:rsidRPr="00AF38A8">
        <w:rPr>
          <w:rFonts w:asciiTheme="minorHAnsi" w:eastAsia="Times New Roman" w:hAnsiTheme="minorHAnsi" w:cstheme="minorHAnsi"/>
          <w:sz w:val="24"/>
          <w:szCs w:val="24"/>
        </w:rPr>
        <w:t xml:space="preserve">del vigente </w:t>
      </w:r>
      <w:r w:rsidR="000A2873" w:rsidRPr="00AF38A8">
        <w:rPr>
          <w:rFonts w:asciiTheme="minorHAnsi" w:eastAsia="Times New Roman" w:hAnsiTheme="minorHAnsi" w:cstheme="minorHAnsi"/>
          <w:sz w:val="24"/>
          <w:szCs w:val="24"/>
        </w:rPr>
        <w:t>”Accordo</w:t>
      </w:r>
      <w:r w:rsidRPr="00AF38A8">
        <w:rPr>
          <w:rFonts w:asciiTheme="minorHAnsi" w:eastAsia="Times New Roman" w:hAnsiTheme="minorHAnsi" w:cstheme="minorHAnsi"/>
          <w:sz w:val="24"/>
          <w:szCs w:val="24"/>
        </w:rPr>
        <w:t xml:space="preserve"> per l’esercizio dei compiti di alta sorveglianza e di garanzia della correttezza e della trasparenza delle procedure connesse alla ricostruzione pubblica post sisma</w:t>
      </w:r>
      <w:r w:rsidR="000A2873" w:rsidRPr="00AF38A8">
        <w:rPr>
          <w:rFonts w:asciiTheme="minorHAnsi" w:eastAsia="Times New Roman" w:hAnsiTheme="minorHAnsi" w:cstheme="minorHAnsi"/>
          <w:sz w:val="24"/>
          <w:szCs w:val="24"/>
        </w:rPr>
        <w:t>”</w:t>
      </w:r>
      <w:r w:rsidR="00852F70" w:rsidRPr="00AF38A8">
        <w:rPr>
          <w:rFonts w:asciiTheme="minorHAnsi" w:eastAsia="Times New Roman" w:hAnsiTheme="minorHAnsi" w:cstheme="minorHAnsi"/>
          <w:sz w:val="24"/>
          <w:szCs w:val="24"/>
        </w:rPr>
        <w:t>, al presente appalto si applicano le seguenti clausole</w:t>
      </w:r>
      <w:r w:rsidR="00606CF6" w:rsidRPr="00AF38A8">
        <w:rPr>
          <w:rFonts w:asciiTheme="minorHAnsi" w:eastAsia="Times New Roman" w:hAnsiTheme="minorHAnsi" w:cstheme="minorHAnsi"/>
          <w:sz w:val="24"/>
          <w:szCs w:val="24"/>
        </w:rPr>
        <w:t>:</w:t>
      </w:r>
    </w:p>
    <w:p w14:paraId="4C6D42E3" w14:textId="6FF6520A" w:rsidR="00A05C0D" w:rsidRPr="0074583F" w:rsidRDefault="00EB0F99" w:rsidP="00BD1359">
      <w:pPr>
        <w:pStyle w:val="Paragrafoelenco"/>
        <w:numPr>
          <w:ilvl w:val="0"/>
          <w:numId w:val="31"/>
        </w:numPr>
        <w:pBdr>
          <w:top w:val="nil"/>
          <w:left w:val="nil"/>
          <w:bottom w:val="nil"/>
          <w:right w:val="nil"/>
          <w:between w:val="nil"/>
        </w:pBdr>
        <w:tabs>
          <w:tab w:val="left" w:pos="709"/>
        </w:tabs>
        <w:spacing w:line="276" w:lineRule="auto"/>
        <w:jc w:val="both"/>
        <w:rPr>
          <w:rFonts w:asciiTheme="minorHAnsi" w:eastAsia="Times New Roman" w:hAnsiTheme="minorHAnsi" w:cstheme="minorHAnsi"/>
          <w:i/>
          <w:sz w:val="24"/>
          <w:szCs w:val="24"/>
        </w:rPr>
      </w:pPr>
      <w:r w:rsidRPr="0074583F">
        <w:rPr>
          <w:rFonts w:asciiTheme="minorHAnsi" w:eastAsia="Garamond" w:hAnsiTheme="minorHAnsi" w:cstheme="minorHAnsi"/>
          <w:color w:val="000000"/>
          <w:sz w:val="24"/>
          <w:szCs w:val="24"/>
        </w:rPr>
        <w:lastRenderedPageBreak/>
        <w:t>«</w:t>
      </w:r>
      <w:r w:rsidR="00A05C0D" w:rsidRPr="0074583F">
        <w:rPr>
          <w:rFonts w:asciiTheme="minorHAnsi" w:eastAsia="Times New Roman" w:hAnsiTheme="minorHAnsi" w:cstheme="minorHAnsi"/>
          <w:i/>
          <w:sz w:val="24"/>
          <w:szCs w:val="24"/>
        </w:rPr>
        <w:t xml:space="preserve">L’appaltatore ovvero l’impresa subcontraente si impegnano a dare comunicazione tempestiva all’ANAC e all’Autorità Giudiziaria di tentativi di concussione che si siano, in qualsiasi modo, manifestati nei confronti dell’imprenditore, degli organi sociali, dei dirigenti di impresa, anche riconducibili alla “filiera delle imprese”. Il predetto adempimento ha natura essenziale ai fini della esecuzione del contratto e il relativo inadempimento </w:t>
      </w:r>
      <w:r w:rsidRPr="0074583F">
        <w:rPr>
          <w:rFonts w:asciiTheme="minorHAnsi" w:eastAsia="Times New Roman" w:hAnsiTheme="minorHAnsi" w:cstheme="minorHAnsi"/>
          <w:i/>
          <w:sz w:val="24"/>
          <w:szCs w:val="24"/>
        </w:rPr>
        <w:t>potrà dare</w:t>
      </w:r>
      <w:r w:rsidR="00A05C0D" w:rsidRPr="0074583F">
        <w:rPr>
          <w:rFonts w:asciiTheme="minorHAnsi" w:eastAsia="Times New Roman" w:hAnsiTheme="minorHAnsi" w:cstheme="minorHAnsi"/>
          <w:i/>
          <w:sz w:val="24"/>
          <w:szCs w:val="24"/>
        </w:rPr>
        <w:t xml:space="preserve"> luogo alla risoluzione espressa del contratto stesso, ai sensi dell’art. 1456 c.c., ogni qualvolta nei confronti di pubblici amministratori che abbiano esercitato funzioni relative all’affidamento, alla stipula e all’esecuzione del contratto sia stata disposta misura cautelare o sia intervenuto rinvio a giudizio per il delitto previsto dall’art. 317 c.p.»;</w:t>
      </w:r>
    </w:p>
    <w:p w14:paraId="2DB17DFE" w14:textId="525DDE23" w:rsidR="0076366E" w:rsidRPr="0074583F" w:rsidRDefault="00A05C0D" w:rsidP="00BD1359">
      <w:pPr>
        <w:pStyle w:val="Paragrafoelenco"/>
        <w:numPr>
          <w:ilvl w:val="0"/>
          <w:numId w:val="31"/>
        </w:numPr>
        <w:pBdr>
          <w:top w:val="nil"/>
          <w:left w:val="nil"/>
          <w:bottom w:val="nil"/>
          <w:right w:val="nil"/>
          <w:between w:val="nil"/>
        </w:pBdr>
        <w:tabs>
          <w:tab w:val="left" w:pos="709"/>
        </w:tabs>
        <w:spacing w:line="276" w:lineRule="auto"/>
        <w:jc w:val="both"/>
        <w:rPr>
          <w:rFonts w:asciiTheme="minorHAnsi" w:eastAsia="Times New Roman" w:hAnsiTheme="minorHAnsi" w:cstheme="minorHAnsi"/>
          <w:i/>
          <w:sz w:val="24"/>
          <w:szCs w:val="24"/>
        </w:rPr>
      </w:pPr>
      <w:bookmarkStart w:id="155" w:name="_Hlk140935013"/>
      <w:r w:rsidRPr="0074583F">
        <w:rPr>
          <w:rFonts w:asciiTheme="minorHAnsi" w:eastAsia="Times New Roman" w:hAnsiTheme="minorHAnsi" w:cstheme="minorHAnsi"/>
          <w:i/>
          <w:sz w:val="24"/>
          <w:szCs w:val="24"/>
        </w:rPr>
        <w:t>«</w:t>
      </w:r>
      <w:r w:rsidR="0011005C" w:rsidRPr="0074583F">
        <w:rPr>
          <w:rFonts w:asciiTheme="minorHAnsi" w:eastAsia="Times New Roman" w:hAnsiTheme="minorHAnsi" w:cstheme="minorHAnsi"/>
          <w:i/>
          <w:sz w:val="24"/>
          <w:szCs w:val="24"/>
        </w:rPr>
        <w:t>I</w:t>
      </w:r>
      <w:r w:rsidRPr="0074583F">
        <w:rPr>
          <w:rFonts w:asciiTheme="minorHAnsi" w:eastAsia="Times New Roman" w:hAnsiTheme="minorHAnsi" w:cstheme="minorHAnsi"/>
          <w:i/>
          <w:sz w:val="24"/>
          <w:szCs w:val="24"/>
        </w:rPr>
        <w:t xml:space="preserve">l soggetto che espleta la procedura, o l’appaltatore in caso di stipula di subcontratto, </w:t>
      </w:r>
      <w:r w:rsidR="00EB0F99" w:rsidRPr="0074583F">
        <w:rPr>
          <w:rFonts w:asciiTheme="minorHAnsi" w:eastAsia="Times New Roman" w:hAnsiTheme="minorHAnsi" w:cstheme="minorHAnsi"/>
          <w:i/>
          <w:sz w:val="24"/>
          <w:szCs w:val="24"/>
        </w:rPr>
        <w:t>valutano l’attivazione</w:t>
      </w:r>
      <w:r w:rsidRPr="0074583F">
        <w:rPr>
          <w:rFonts w:asciiTheme="minorHAnsi" w:eastAsia="Times New Roman" w:hAnsiTheme="minorHAnsi" w:cstheme="minorHAnsi"/>
          <w:i/>
          <w:sz w:val="24"/>
          <w:szCs w:val="24"/>
        </w:rPr>
        <w:t xml:space="preserve"> della clausola risolutiva espressa di cui all’art. 1456 c.c., quando nei confronti dei soggetti di cui all’art. 94, commi 3 e 4, d.lgs. 36/2023, dei dirigenti dell’impresa con funzioni specifiche relative all’affidamento, alla stipula e all’esecuzione del contratto e dei soggetti di cui all’art. 20 del d.lgs. 231/2007 (titolare effettivo), sia stata disposta misura cautelare o sia intervenuto rinvio a giudizio per il delitto di cui all’art. 321 c.p. in relazione agli artt. 318 c.p., 319 c.p., 319-bis c.p., 320 c.p., nonché per i delitti di cui agli artt. 319-quater, comma 2, 322, 322-bis, comma 2, 346-bis, comma 2, 353 e 353-bis c.p.».</w:t>
      </w:r>
    </w:p>
    <w:p w14:paraId="4C2B8579" w14:textId="022C8A60" w:rsidR="00A05C0D" w:rsidRPr="0074583F" w:rsidRDefault="00A05C0D" w:rsidP="00BD1359">
      <w:pPr>
        <w:pStyle w:val="Paragrafoelenco"/>
        <w:numPr>
          <w:ilvl w:val="0"/>
          <w:numId w:val="31"/>
        </w:numPr>
        <w:pBdr>
          <w:top w:val="nil"/>
          <w:left w:val="nil"/>
          <w:bottom w:val="nil"/>
          <w:right w:val="nil"/>
          <w:between w:val="nil"/>
        </w:pBdr>
        <w:tabs>
          <w:tab w:val="left" w:pos="709"/>
        </w:tabs>
        <w:spacing w:line="276" w:lineRule="auto"/>
        <w:jc w:val="both"/>
        <w:rPr>
          <w:rFonts w:asciiTheme="minorHAnsi" w:eastAsia="Times New Roman" w:hAnsiTheme="minorHAnsi" w:cstheme="minorHAnsi"/>
          <w:i/>
          <w:sz w:val="24"/>
          <w:szCs w:val="24"/>
        </w:rPr>
      </w:pPr>
      <w:r w:rsidRPr="0074583F">
        <w:rPr>
          <w:rFonts w:asciiTheme="minorHAnsi" w:eastAsia="Times New Roman" w:hAnsiTheme="minorHAnsi" w:cstheme="minorHAnsi"/>
          <w:i/>
          <w:sz w:val="24"/>
          <w:szCs w:val="24"/>
        </w:rPr>
        <w:t xml:space="preserve">“Nei casi di cui alle lett. a) e b) del precedente paragrafo l’esercizio della potestà risolutoria da parte del soggetto che espleta la procedura ovvero dell’impresa contraente è subordinato alla previa intesa con l’Autorità; a tal fine, </w:t>
      </w:r>
      <w:proofErr w:type="spellStart"/>
      <w:r w:rsidRPr="0074583F">
        <w:rPr>
          <w:rFonts w:asciiTheme="minorHAnsi" w:eastAsia="Times New Roman" w:hAnsiTheme="minorHAnsi" w:cstheme="minorHAnsi"/>
          <w:i/>
          <w:sz w:val="24"/>
          <w:szCs w:val="24"/>
        </w:rPr>
        <w:t>l’Anac</w:t>
      </w:r>
      <w:proofErr w:type="spellEnd"/>
      <w:r w:rsidRPr="0074583F">
        <w:rPr>
          <w:rFonts w:asciiTheme="minorHAnsi" w:eastAsia="Times New Roman" w:hAnsiTheme="minorHAnsi" w:cstheme="minorHAnsi"/>
          <w:i/>
          <w:sz w:val="24"/>
          <w:szCs w:val="24"/>
        </w:rPr>
        <w:t>, avuta comunicazione della volontà di avvalersi della clausola risolutiva espressa di cui all’art. 1456 c.c., potrà valutare se, in alternativa all’ipotesi risolutoria, ricorrano i presupposti per la prosecuzione del rapporto contrattuale alle condizioni di cui all’art. 32 del decreto legge 90/2014, convertito dalla L. 114/2014</w:t>
      </w:r>
      <w:r w:rsidR="008D24C0" w:rsidRPr="0074583F">
        <w:rPr>
          <w:rFonts w:asciiTheme="minorHAnsi" w:eastAsia="Times New Roman" w:hAnsiTheme="minorHAnsi" w:cstheme="minorHAnsi"/>
          <w:i/>
          <w:sz w:val="24"/>
          <w:szCs w:val="24"/>
        </w:rPr>
        <w:t>”</w:t>
      </w:r>
      <w:r w:rsidR="00EB0F99" w:rsidRPr="0074583F">
        <w:rPr>
          <w:rFonts w:asciiTheme="minorHAnsi" w:eastAsia="Times New Roman" w:hAnsiTheme="minorHAnsi" w:cstheme="minorHAnsi"/>
          <w:i/>
          <w:sz w:val="24"/>
          <w:szCs w:val="24"/>
        </w:rPr>
        <w:t>.</w:t>
      </w:r>
    </w:p>
    <w:bookmarkEnd w:id="155"/>
    <w:p w14:paraId="68D6A199" w14:textId="06D34609" w:rsidR="00DD747D" w:rsidRDefault="00852F70" w:rsidP="00BD1359">
      <w:pPr>
        <w:widowControl/>
        <w:autoSpaceDE w:val="0"/>
        <w:adjustRightInd w:val="0"/>
        <w:spacing w:after="120"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Restano, altresì, ferme le disposizioni e le prescrizioni di cui al </w:t>
      </w:r>
      <w:r w:rsidR="00BA3D28" w:rsidRPr="00AF38A8">
        <w:rPr>
          <w:rFonts w:asciiTheme="minorHAnsi" w:eastAsia="Times New Roman" w:hAnsiTheme="minorHAnsi" w:cstheme="minorHAnsi"/>
          <w:sz w:val="24"/>
          <w:szCs w:val="24"/>
        </w:rPr>
        <w:t>Protocollo quadro di legalità</w:t>
      </w:r>
      <w:r w:rsidRPr="00AF38A8">
        <w:rPr>
          <w:rFonts w:asciiTheme="minorHAnsi" w:eastAsia="Times New Roman" w:hAnsiTheme="minorHAnsi" w:cstheme="minorHAnsi"/>
          <w:sz w:val="24"/>
          <w:szCs w:val="24"/>
        </w:rPr>
        <w:t xml:space="preserve"> sottoscritto in data 26/07/2017 dal Commissario straordinario del Governo, dalla Struttura di Missione e dalla Centrale Unica di Committenza INVITALIA Spa, la cui mancata accettazione costituisce causa di esclusione dalla gara, ai sensi dell’art. 1, comma 17, della legge 6 novembre 2012, n. 190 (“</w:t>
      </w:r>
      <w:r w:rsidRPr="0074583F">
        <w:rPr>
          <w:rFonts w:asciiTheme="minorHAnsi" w:eastAsia="Times New Roman" w:hAnsiTheme="minorHAnsi" w:cstheme="minorHAnsi"/>
          <w:i/>
          <w:sz w:val="24"/>
          <w:szCs w:val="24"/>
        </w:rPr>
        <w:t>Disposizioni per la prevenzione e la repressione della corruzione e dell’illegalità nella pubblica amministrazione</w:t>
      </w:r>
      <w:r w:rsidR="004F54B0" w:rsidRPr="00AF38A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w:t>
      </w:r>
    </w:p>
    <w:p w14:paraId="72326876" w14:textId="77777777" w:rsidR="00117522" w:rsidRPr="00AF38A8" w:rsidRDefault="00117522" w:rsidP="00BD1359">
      <w:pPr>
        <w:widowControl/>
        <w:autoSpaceDE w:val="0"/>
        <w:adjustRightInd w:val="0"/>
        <w:spacing w:after="120" w:line="276" w:lineRule="auto"/>
        <w:jc w:val="both"/>
        <w:rPr>
          <w:rFonts w:asciiTheme="minorHAnsi" w:eastAsia="Times New Roman" w:hAnsiTheme="minorHAnsi" w:cstheme="minorHAnsi"/>
          <w:sz w:val="24"/>
          <w:szCs w:val="24"/>
        </w:rPr>
      </w:pPr>
    </w:p>
    <w:p w14:paraId="0D3B4A0D" w14:textId="055D7441"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56" w:name="_Toc139277048"/>
      <w:bookmarkStart w:id="157" w:name="_Toc140929844"/>
      <w:bookmarkStart w:id="158" w:name="_Toc141027286"/>
      <w:r w:rsidRPr="00AF38A8">
        <w:rPr>
          <w:rFonts w:asciiTheme="minorHAnsi" w:eastAsia="Times New Roman" w:hAnsiTheme="minorHAnsi" w:cstheme="minorHAnsi"/>
          <w:sz w:val="24"/>
          <w:szCs w:val="24"/>
        </w:rPr>
        <w:t>Offerta tecnica</w:t>
      </w:r>
      <w:bookmarkEnd w:id="156"/>
      <w:bookmarkEnd w:id="157"/>
      <w:bookmarkEnd w:id="158"/>
    </w:p>
    <w:p w14:paraId="369480DB" w14:textId="1350D8C8" w:rsidR="0076366E" w:rsidRPr="00AF38A8" w:rsidRDefault="00BA3D28" w:rsidP="00BD1359">
      <w:pPr>
        <w:spacing w:before="60" w:after="60" w:line="276" w:lineRule="auto"/>
        <w:jc w:val="both"/>
        <w:rPr>
          <w:rFonts w:asciiTheme="minorHAnsi" w:hAnsiTheme="minorHAnsi" w:cstheme="minorHAnsi"/>
          <w:sz w:val="24"/>
          <w:szCs w:val="24"/>
        </w:rPr>
      </w:pPr>
      <w:bookmarkStart w:id="159" w:name="_heading=h.1nia2ey" w:colFirst="0" w:colLast="0"/>
      <w:bookmarkEnd w:id="159"/>
      <w:r w:rsidRPr="00AF38A8">
        <w:rPr>
          <w:rFonts w:asciiTheme="minorHAnsi" w:eastAsia="Times New Roman" w:hAnsiTheme="minorHAnsi" w:cstheme="minorHAnsi"/>
          <w:sz w:val="24"/>
          <w:szCs w:val="24"/>
        </w:rPr>
        <w:t>L’operatore economico inserisce [</w:t>
      </w:r>
      <w:r w:rsidRPr="00AF38A8">
        <w:rPr>
          <w:rFonts w:asciiTheme="minorHAnsi" w:eastAsia="Titillium" w:hAnsiTheme="minorHAnsi" w:cstheme="minorHAnsi"/>
          <w:i/>
          <w:sz w:val="24"/>
          <w:szCs w:val="24"/>
        </w:rPr>
        <w:t>in caso di gara a lotti inserire</w:t>
      </w:r>
      <w:r w:rsidRPr="00AF38A8">
        <w:rPr>
          <w:rFonts w:asciiTheme="minorHAnsi" w:eastAsia="Titillium" w:hAnsiTheme="minorHAnsi" w:cstheme="minorHAnsi"/>
          <w:sz w:val="24"/>
          <w:szCs w:val="24"/>
        </w:rPr>
        <w:t>: “</w:t>
      </w:r>
      <w:r w:rsidRPr="00AF38A8">
        <w:rPr>
          <w:rFonts w:asciiTheme="minorHAnsi" w:eastAsia="Times New Roman" w:hAnsiTheme="minorHAnsi" w:cstheme="minorHAnsi"/>
          <w:i/>
          <w:sz w:val="24"/>
          <w:szCs w:val="24"/>
        </w:rPr>
        <w:t>per ogni singolo lotto</w:t>
      </w:r>
      <w:r w:rsidRPr="00AF38A8">
        <w:rPr>
          <w:rFonts w:asciiTheme="minorHAnsi" w:eastAsia="Titillium" w:hAnsiTheme="minorHAnsi" w:cstheme="minorHAnsi"/>
          <w:sz w:val="24"/>
          <w:szCs w:val="24"/>
        </w:rPr>
        <w:t>”]</w:t>
      </w:r>
      <w:r w:rsidRPr="00AF38A8">
        <w:rPr>
          <w:rFonts w:asciiTheme="minorHAnsi" w:eastAsia="Times New Roman" w:hAnsiTheme="minorHAnsi" w:cstheme="minorHAnsi"/>
          <w:sz w:val="24"/>
          <w:szCs w:val="24"/>
        </w:rPr>
        <w:t xml:space="preserve"> la documentazione relativa all’offerta tecnica nella Piattaforma secondo le seguenti modalità … [</w:t>
      </w:r>
      <w:r w:rsidRPr="00AF38A8">
        <w:rPr>
          <w:rFonts w:asciiTheme="minorHAnsi" w:eastAsia="Titillium" w:hAnsiTheme="minorHAnsi" w:cstheme="minorHAnsi"/>
          <w:i/>
          <w:sz w:val="24"/>
          <w:szCs w:val="24"/>
        </w:rPr>
        <w:t>indicare</w:t>
      </w:r>
      <w:r w:rsidRPr="00AF38A8">
        <w:rPr>
          <w:rFonts w:asciiTheme="minorHAnsi" w:eastAsia="Times New Roman" w:hAnsiTheme="minorHAnsi" w:cstheme="minorHAnsi"/>
          <w:i/>
          <w:sz w:val="24"/>
          <w:szCs w:val="24"/>
        </w:rPr>
        <w:t xml:space="preserve"> le modalità</w:t>
      </w:r>
      <w:r w:rsidRPr="00AF38A8">
        <w:rPr>
          <w:rFonts w:asciiTheme="minorHAnsi" w:eastAsia="Times New Roman" w:hAnsiTheme="minorHAnsi" w:cstheme="minorHAnsi"/>
          <w:sz w:val="24"/>
          <w:szCs w:val="24"/>
        </w:rPr>
        <w:t xml:space="preserve">], a pena di inammissibilità dell’offerta. </w:t>
      </w:r>
      <w:r w:rsidRPr="00AF38A8">
        <w:rPr>
          <w:rFonts w:asciiTheme="minorHAnsi" w:eastAsia="Titillium" w:hAnsiTheme="minorHAnsi" w:cstheme="minorHAnsi"/>
          <w:sz w:val="24"/>
          <w:szCs w:val="24"/>
        </w:rPr>
        <w:t>L’offerta tecnica deve rispettare, pena l’esclusione dalla procedura di gara, le caratteristiche minime stabilite nei documenti di gara, nel rispetto del principio di equivalenza.</w:t>
      </w:r>
      <w:r w:rsidR="00EB4CD5" w:rsidRPr="00AF38A8">
        <w:rPr>
          <w:rFonts w:asciiTheme="minorHAnsi" w:eastAsia="Titillium" w:hAnsiTheme="minorHAnsi" w:cstheme="minorHAnsi"/>
          <w:sz w:val="24"/>
          <w:szCs w:val="24"/>
        </w:rPr>
        <w:t xml:space="preserve"> </w:t>
      </w:r>
      <w:r w:rsidR="004C0049" w:rsidRPr="00AF38A8">
        <w:rPr>
          <w:rFonts w:asciiTheme="minorHAnsi" w:eastAsia="Times New Roman" w:hAnsiTheme="minorHAnsi" w:cstheme="minorHAnsi"/>
          <w:sz w:val="24"/>
          <w:szCs w:val="24"/>
        </w:rPr>
        <w:t>L’offerta è firmata secondo le modalità previste al precedente punto</w:t>
      </w:r>
      <w:r w:rsidR="00AB0DC4">
        <w:rPr>
          <w:rFonts w:asciiTheme="minorHAnsi" w:eastAsia="Times New Roman" w:hAnsiTheme="minorHAnsi" w:cstheme="minorHAnsi"/>
          <w:sz w:val="24"/>
          <w:szCs w:val="24"/>
        </w:rPr>
        <w:t xml:space="preserve"> 15.1</w:t>
      </w:r>
      <w:r w:rsidR="004C0049" w:rsidRPr="00AF38A8">
        <w:rPr>
          <w:rFonts w:asciiTheme="minorHAnsi" w:eastAsia="Times New Roman" w:hAnsiTheme="minorHAnsi" w:cstheme="minorHAnsi"/>
          <w:sz w:val="24"/>
          <w:szCs w:val="24"/>
        </w:rPr>
        <w:t xml:space="preserve"> e deve contenere, a pena di esclusione, i seguenti documenti:</w:t>
      </w:r>
    </w:p>
    <w:p w14:paraId="3F199AA2" w14:textId="70450739" w:rsidR="0076366E" w:rsidRPr="00AF38A8" w:rsidRDefault="00BA3D28" w:rsidP="00BD1359">
      <w:pPr>
        <w:numPr>
          <w:ilvl w:val="0"/>
          <w:numId w:val="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relazione tecnica dei servizi offerti;</w:t>
      </w:r>
    </w:p>
    <w:p w14:paraId="544E08CD" w14:textId="77777777" w:rsidR="0076366E" w:rsidRPr="00AF38A8" w:rsidRDefault="00BA3D28" w:rsidP="00BD1359">
      <w:pPr>
        <w:numPr>
          <w:ilvl w:val="0"/>
          <w:numId w:val="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 xml:space="preserve">in caso di avvalimento premiale, contratto di avvalimento; </w:t>
      </w:r>
    </w:p>
    <w:p w14:paraId="50B4730B" w14:textId="4202445B" w:rsidR="0076366E" w:rsidRPr="00AF38A8" w:rsidRDefault="0080356C" w:rsidP="00BD1359">
      <w:pPr>
        <w:numPr>
          <w:ilvl w:val="0"/>
          <w:numId w:val="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80356C">
        <w:rPr>
          <w:rFonts w:asciiTheme="minorHAnsi" w:hAnsiTheme="minorHAnsi" w:cstheme="minorHAnsi"/>
          <w:i/>
          <w:sz w:val="24"/>
          <w:szCs w:val="24"/>
        </w:rPr>
        <w:t xml:space="preserve">… </w:t>
      </w:r>
      <w:r w:rsidR="00BA3D28" w:rsidRPr="00AF38A8">
        <w:rPr>
          <w:rFonts w:asciiTheme="minorHAnsi" w:eastAsia="Times New Roman" w:hAnsiTheme="minorHAnsi" w:cstheme="minorHAnsi"/>
          <w:sz w:val="24"/>
          <w:szCs w:val="24"/>
        </w:rPr>
        <w:t>[</w:t>
      </w:r>
      <w:r w:rsidR="00BA3D28" w:rsidRPr="00AF38A8">
        <w:rPr>
          <w:rFonts w:asciiTheme="minorHAnsi" w:eastAsia="Times New Roman" w:hAnsiTheme="minorHAnsi" w:cstheme="minorHAnsi"/>
          <w:i/>
          <w:sz w:val="24"/>
          <w:szCs w:val="24"/>
        </w:rPr>
        <w:t>indicare ulteriori documenti eventualmente richie</w:t>
      </w:r>
      <w:r w:rsidR="00BA3D28" w:rsidRPr="00AF38A8">
        <w:rPr>
          <w:rFonts w:asciiTheme="minorHAnsi" w:eastAsia="Times New Roman" w:hAnsiTheme="minorHAnsi" w:cstheme="minorHAnsi"/>
          <w:sz w:val="24"/>
          <w:szCs w:val="24"/>
        </w:rPr>
        <w:t>sti</w:t>
      </w:r>
      <w:r w:rsidRPr="0080356C">
        <w:rPr>
          <w:rFonts w:asciiTheme="minorHAnsi" w:hAnsiTheme="minorHAnsi" w:cstheme="minorHAnsi"/>
          <w:i/>
          <w:sz w:val="24"/>
          <w:szCs w:val="24"/>
        </w:rPr>
        <w:t>].</w:t>
      </w:r>
    </w:p>
    <w:p w14:paraId="582E4B45" w14:textId="77777777" w:rsidR="00DD747D" w:rsidRDefault="00DD747D" w:rsidP="00BD1359">
      <w:pPr>
        <w:pBdr>
          <w:top w:val="nil"/>
          <w:left w:val="nil"/>
          <w:bottom w:val="nil"/>
          <w:right w:val="nil"/>
          <w:between w:val="nil"/>
        </w:pBdr>
        <w:spacing w:line="276" w:lineRule="auto"/>
        <w:jc w:val="both"/>
        <w:rPr>
          <w:rFonts w:asciiTheme="minorHAnsi" w:hAnsiTheme="minorHAnsi" w:cstheme="minorHAnsi"/>
          <w:sz w:val="24"/>
          <w:szCs w:val="24"/>
        </w:rPr>
      </w:pPr>
    </w:p>
    <w:p w14:paraId="3121F0AA" w14:textId="030A7CA6" w:rsidR="0076366E" w:rsidRPr="00AF38A8" w:rsidRDefault="0080356C"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80356C">
        <w:rPr>
          <w:rFonts w:asciiTheme="minorHAnsi" w:hAnsiTheme="minorHAnsi" w:cstheme="minorHAnsi"/>
          <w:sz w:val="24"/>
          <w:szCs w:val="24"/>
        </w:rPr>
        <w:t xml:space="preserve">La relazione contiene una proposta tecnico-organizzativa che illustra, </w:t>
      </w:r>
      <w:r w:rsidR="0074583F">
        <w:rPr>
          <w:rFonts w:asciiTheme="minorHAnsi" w:eastAsia="Times New Roman" w:hAnsiTheme="minorHAnsi" w:cstheme="minorHAnsi"/>
          <w:sz w:val="24"/>
          <w:szCs w:val="24"/>
        </w:rPr>
        <w:t>c</w:t>
      </w:r>
      <w:r w:rsidR="00BA3D28" w:rsidRPr="00AF38A8">
        <w:rPr>
          <w:rFonts w:asciiTheme="minorHAnsi" w:eastAsia="Times New Roman" w:hAnsiTheme="minorHAnsi" w:cstheme="minorHAnsi"/>
          <w:sz w:val="24"/>
          <w:szCs w:val="24"/>
        </w:rPr>
        <w:t xml:space="preserve">on riferimento </w:t>
      </w:r>
      <w:r w:rsidRPr="0080356C">
        <w:rPr>
          <w:rFonts w:asciiTheme="minorHAnsi" w:hAnsiTheme="minorHAnsi" w:cstheme="minorHAnsi"/>
          <w:sz w:val="24"/>
          <w:szCs w:val="24"/>
        </w:rPr>
        <w:t>ai criteri e sub-criteri di valutazione indicati al successivo punto</w:t>
      </w:r>
      <w:r w:rsidR="00DD747D">
        <w:rPr>
          <w:rFonts w:asciiTheme="minorHAnsi" w:hAnsiTheme="minorHAnsi" w:cstheme="minorHAnsi"/>
          <w:sz w:val="24"/>
          <w:szCs w:val="24"/>
        </w:rPr>
        <w:t xml:space="preserve"> </w:t>
      </w:r>
      <w:r w:rsidRPr="0080356C">
        <w:rPr>
          <w:rFonts w:asciiTheme="minorHAnsi" w:hAnsiTheme="minorHAnsi" w:cstheme="minorHAnsi"/>
          <w:sz w:val="24"/>
          <w:szCs w:val="24"/>
        </w:rPr>
        <w:t>18.1, i</w:t>
      </w:r>
      <w:r w:rsidR="00BA3D28" w:rsidRPr="00AF38A8">
        <w:rPr>
          <w:rFonts w:asciiTheme="minorHAnsi" w:eastAsia="Times New Roman" w:hAnsiTheme="minorHAnsi" w:cstheme="minorHAnsi"/>
          <w:sz w:val="24"/>
          <w:szCs w:val="24"/>
        </w:rPr>
        <w:t xml:space="preserve"> seguenti </w:t>
      </w:r>
      <w:r w:rsidRPr="0080356C">
        <w:rPr>
          <w:rFonts w:asciiTheme="minorHAnsi" w:hAnsiTheme="minorHAnsi" w:cstheme="minorHAnsi"/>
          <w:sz w:val="24"/>
          <w:szCs w:val="24"/>
        </w:rPr>
        <w:t>elementi: …</w:t>
      </w:r>
      <w:r w:rsidR="00BA3D28" w:rsidRPr="00AF38A8">
        <w:rPr>
          <w:rFonts w:asciiTheme="minorHAnsi" w:eastAsia="Times New Roman" w:hAnsiTheme="minorHAnsi" w:cstheme="minorHAnsi"/>
          <w:sz w:val="24"/>
          <w:szCs w:val="24"/>
        </w:rPr>
        <w:t xml:space="preserve"> [</w:t>
      </w:r>
      <w:r w:rsidR="00BA3D28" w:rsidRPr="00AF38A8">
        <w:rPr>
          <w:rFonts w:asciiTheme="minorHAnsi" w:eastAsia="Times New Roman" w:hAnsiTheme="minorHAnsi" w:cstheme="minorHAnsi"/>
          <w:i/>
          <w:sz w:val="24"/>
          <w:szCs w:val="24"/>
        </w:rPr>
        <w:t xml:space="preserve">specificare, </w:t>
      </w:r>
      <w:r w:rsidRPr="0080356C">
        <w:rPr>
          <w:rFonts w:asciiTheme="minorHAnsi" w:hAnsiTheme="minorHAnsi" w:cstheme="minorHAnsi"/>
          <w:i/>
          <w:sz w:val="24"/>
          <w:szCs w:val="24"/>
        </w:rPr>
        <w:t>per ogni singolo criterio e sub-criterio di valutazione</w:t>
      </w:r>
      <w:r w:rsidR="00BA3D28" w:rsidRPr="00AF38A8">
        <w:rPr>
          <w:rFonts w:asciiTheme="minorHAnsi" w:eastAsia="Times New Roman" w:hAnsiTheme="minorHAnsi" w:cstheme="minorHAnsi"/>
          <w:i/>
          <w:sz w:val="24"/>
          <w:szCs w:val="24"/>
        </w:rPr>
        <w:t xml:space="preserve">, gli elementi che il concorrente deve descrivere ai fini della valutazione dell’offerta tecnica, </w:t>
      </w:r>
      <w:r w:rsidRPr="0080356C">
        <w:rPr>
          <w:rFonts w:asciiTheme="minorHAnsi" w:hAnsiTheme="minorHAnsi" w:cstheme="minorHAnsi"/>
          <w:i/>
          <w:sz w:val="24"/>
          <w:szCs w:val="24"/>
        </w:rPr>
        <w:t xml:space="preserve">se ritenuto opportuno </w:t>
      </w:r>
      <w:r w:rsidR="00BA3D28" w:rsidRPr="00AF38A8">
        <w:rPr>
          <w:rFonts w:asciiTheme="minorHAnsi" w:eastAsia="Times New Roman" w:hAnsiTheme="minorHAnsi" w:cstheme="minorHAnsi"/>
          <w:i/>
          <w:sz w:val="24"/>
          <w:szCs w:val="24"/>
        </w:rPr>
        <w:t xml:space="preserve">anche </w:t>
      </w:r>
      <w:r w:rsidRPr="0080356C">
        <w:rPr>
          <w:rFonts w:asciiTheme="minorHAnsi" w:hAnsiTheme="minorHAnsi" w:cstheme="minorHAnsi"/>
          <w:i/>
          <w:sz w:val="24"/>
          <w:szCs w:val="24"/>
        </w:rPr>
        <w:t>mediante rinvio ad apposito allegato contenente l’indice</w:t>
      </w:r>
      <w:r w:rsidR="00BA3D28" w:rsidRPr="00AF38A8">
        <w:rPr>
          <w:rFonts w:asciiTheme="minorHAnsi" w:eastAsia="Times New Roman" w:hAnsiTheme="minorHAnsi" w:cstheme="minorHAnsi"/>
          <w:i/>
          <w:sz w:val="24"/>
          <w:szCs w:val="24"/>
        </w:rPr>
        <w:t xml:space="preserve"> richiesto</w:t>
      </w:r>
      <w:r w:rsidRPr="0080356C">
        <w:rPr>
          <w:rFonts w:asciiTheme="minorHAnsi" w:hAnsiTheme="minorHAnsi" w:cstheme="minorHAnsi"/>
          <w:i/>
          <w:sz w:val="24"/>
          <w:szCs w:val="24"/>
        </w:rPr>
        <w:t xml:space="preserve"> per la relazione</w:t>
      </w:r>
      <w:r w:rsidR="00BA3D28" w:rsidRPr="00AF38A8">
        <w:rPr>
          <w:rFonts w:asciiTheme="minorHAnsi" w:eastAsia="Times New Roman" w:hAnsiTheme="minorHAnsi" w:cstheme="minorHAnsi"/>
          <w:sz w:val="24"/>
          <w:szCs w:val="24"/>
        </w:rPr>
        <w:t>].</w:t>
      </w:r>
    </w:p>
    <w:p w14:paraId="37AD2E5F" w14:textId="4322B171" w:rsidR="0080356C" w:rsidRPr="0080356C" w:rsidRDefault="0080356C" w:rsidP="00BD1359">
      <w:pPr>
        <w:spacing w:before="60" w:after="60" w:line="276" w:lineRule="auto"/>
        <w:jc w:val="both"/>
        <w:rPr>
          <w:rFonts w:asciiTheme="minorHAnsi" w:hAnsiTheme="minorHAnsi" w:cstheme="minorHAnsi"/>
          <w:sz w:val="24"/>
          <w:szCs w:val="24"/>
        </w:rPr>
      </w:pPr>
    </w:p>
    <w:p w14:paraId="5B5027C7" w14:textId="2794B0D8" w:rsidR="0074583F" w:rsidRDefault="0080356C"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80356C">
        <w:rPr>
          <w:rFonts w:asciiTheme="minorHAnsi" w:hAnsiTheme="minorHAnsi" w:cstheme="minorHAnsi"/>
          <w:b/>
          <w:i/>
          <w:sz w:val="24"/>
          <w:szCs w:val="24"/>
        </w:rPr>
        <w:t xml:space="preserve">[Nel caso in cui in forza di disposizioni legislative, regolamentari o amministrative, la prestazione del servizio sia riservata a una particolare professione:] </w:t>
      </w:r>
      <w:r w:rsidRPr="0080356C">
        <w:rPr>
          <w:rFonts w:asciiTheme="minorHAnsi" w:hAnsiTheme="minorHAnsi" w:cstheme="minorHAnsi"/>
          <w:bCs/>
          <w:iCs/>
          <w:sz w:val="24"/>
          <w:szCs w:val="24"/>
        </w:rPr>
        <w:t xml:space="preserve">In forza del ………. </w:t>
      </w:r>
      <w:r w:rsidRPr="0080356C">
        <w:rPr>
          <w:rFonts w:asciiTheme="minorHAnsi" w:hAnsiTheme="minorHAnsi" w:cstheme="minorHAnsi"/>
          <w:bCs/>
          <w:i/>
          <w:sz w:val="24"/>
          <w:szCs w:val="24"/>
        </w:rPr>
        <w:t>[indicare le disposizioni applicabili]</w:t>
      </w:r>
      <w:r w:rsidRPr="0080356C">
        <w:rPr>
          <w:rFonts w:asciiTheme="minorHAnsi" w:hAnsiTheme="minorHAnsi" w:cstheme="minorHAnsi"/>
          <w:bCs/>
          <w:iCs/>
          <w:sz w:val="24"/>
          <w:szCs w:val="24"/>
        </w:rPr>
        <w:t xml:space="preserve"> la prestazione del servizio è riservata a ………… </w:t>
      </w:r>
      <w:r w:rsidRPr="0080356C">
        <w:rPr>
          <w:rFonts w:asciiTheme="minorHAnsi" w:hAnsiTheme="minorHAnsi" w:cstheme="minorHAnsi"/>
          <w:bCs/>
          <w:i/>
          <w:sz w:val="24"/>
          <w:szCs w:val="24"/>
        </w:rPr>
        <w:t>[indicare la qualifica professionale].</w:t>
      </w:r>
    </w:p>
    <w:p w14:paraId="7F3B55D2" w14:textId="098C02B2"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i/>
          <w:sz w:val="24"/>
          <w:szCs w:val="24"/>
        </w:rPr>
        <w:t>: qualora sia necessario conoscere le qualifiche professionali dei lavoratori in ragione della tipologia delle prestazioni richieste nei servizi oggetto dell’appalto</w:t>
      </w:r>
      <w:r w:rsidRPr="00AF38A8">
        <w:rPr>
          <w:rFonts w:asciiTheme="minorHAnsi" w:eastAsia="Times New Roman" w:hAnsiTheme="minorHAnsi" w:cstheme="minorHAnsi"/>
          <w:sz w:val="24"/>
          <w:szCs w:val="24"/>
        </w:rPr>
        <w:t>] L’operatore economico indica il nome e le qualifiche professionali delle persone fisiche incaricate delle seguenti prestazioni ... [</w:t>
      </w:r>
      <w:r w:rsidRPr="00AF38A8">
        <w:rPr>
          <w:rFonts w:asciiTheme="minorHAnsi" w:eastAsia="Times New Roman" w:hAnsiTheme="minorHAnsi" w:cstheme="minorHAnsi"/>
          <w:i/>
          <w:sz w:val="24"/>
          <w:szCs w:val="24"/>
        </w:rPr>
        <w:t>la stazione appaltante individua le prestazioni in relazione alle quali, viste le loro peculiarità, ritiene necessario conoscere ex ante nominativo e qualifiche delle persone fisiche incaricate</w:t>
      </w:r>
      <w:r w:rsidRPr="00AF38A8">
        <w:rPr>
          <w:rFonts w:asciiTheme="minorHAnsi" w:eastAsia="Times New Roman" w:hAnsiTheme="minorHAnsi" w:cstheme="minorHAnsi"/>
          <w:sz w:val="24"/>
          <w:szCs w:val="24"/>
        </w:rPr>
        <w:t>].</w:t>
      </w:r>
    </w:p>
    <w:p w14:paraId="6889FAAB" w14:textId="540810D3" w:rsidR="0076366E" w:rsidRPr="00AF38A8" w:rsidRDefault="0080356C"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80356C">
        <w:rPr>
          <w:rFonts w:asciiTheme="minorHAnsi" w:hAnsiTheme="minorHAnsi" w:cstheme="minorHAnsi"/>
          <w:b/>
          <w:bCs/>
          <w:i/>
          <w:iCs/>
          <w:sz w:val="24"/>
          <w:szCs w:val="24"/>
        </w:rPr>
        <w:t xml:space="preserve">[Se prevista la clausola sociale relativa alla stabilità occupazionale] </w:t>
      </w:r>
      <w:r w:rsidRPr="0080356C">
        <w:rPr>
          <w:rFonts w:asciiTheme="minorHAnsi" w:hAnsiTheme="minorHAnsi" w:cstheme="minorHAnsi"/>
          <w:sz w:val="24"/>
          <w:szCs w:val="24"/>
        </w:rPr>
        <w:t>Ai fini del rispetto della clausola sociale sulla stabilità occupazionale</w:t>
      </w:r>
      <w:r w:rsidR="00BA3D28" w:rsidRPr="00AF38A8">
        <w:rPr>
          <w:rFonts w:asciiTheme="minorHAnsi" w:eastAsia="Times New Roman" w:hAnsiTheme="minorHAnsi" w:cstheme="minorHAnsi"/>
          <w:sz w:val="24"/>
          <w:szCs w:val="24"/>
        </w:rPr>
        <w:t xml:space="preserve"> di cui al punto </w:t>
      </w:r>
      <w:r w:rsidRPr="0080356C">
        <w:rPr>
          <w:rFonts w:asciiTheme="minorHAnsi" w:hAnsiTheme="minorHAnsi" w:cstheme="minorHAnsi"/>
          <w:sz w:val="24"/>
          <w:szCs w:val="24"/>
        </w:rPr>
        <w:t>,</w:t>
      </w:r>
      <w:r w:rsidR="00BA3D28" w:rsidRPr="00AF38A8">
        <w:rPr>
          <w:rFonts w:asciiTheme="minorHAnsi" w:eastAsia="Times New Roman" w:hAnsiTheme="minorHAnsi" w:cstheme="minorHAnsi"/>
          <w:i/>
          <w:sz w:val="24"/>
          <w:szCs w:val="24"/>
        </w:rPr>
        <w:t xml:space="preserve"> il concorrente </w:t>
      </w:r>
      <w:r w:rsidRPr="0080356C">
        <w:rPr>
          <w:rFonts w:asciiTheme="minorHAnsi" w:hAnsiTheme="minorHAnsi" w:cstheme="minorHAnsi"/>
          <w:sz w:val="24"/>
          <w:szCs w:val="24"/>
        </w:rPr>
        <w:t>allega all’offerta</w:t>
      </w:r>
      <w:r w:rsidR="00BA3D28" w:rsidRPr="00AF38A8">
        <w:rPr>
          <w:rFonts w:asciiTheme="minorHAnsi" w:eastAsia="Times New Roman" w:hAnsiTheme="minorHAnsi" w:cstheme="minorHAnsi"/>
          <w:sz w:val="24"/>
          <w:szCs w:val="24"/>
        </w:rPr>
        <w:t xml:space="preserve"> tecnica </w:t>
      </w:r>
      <w:r w:rsidRPr="0080356C">
        <w:rPr>
          <w:rFonts w:asciiTheme="minorHAnsi" w:hAnsiTheme="minorHAnsi" w:cstheme="minorHAnsi"/>
          <w:sz w:val="24"/>
          <w:szCs w:val="24"/>
        </w:rPr>
        <w:t xml:space="preserve">un progetto di assorbimento atto ad illustrare le concrete </w:t>
      </w:r>
      <w:r w:rsidR="00BA3D28" w:rsidRPr="00AF38A8">
        <w:rPr>
          <w:rFonts w:asciiTheme="minorHAnsi" w:eastAsia="Times New Roman" w:hAnsiTheme="minorHAnsi" w:cstheme="minorHAnsi"/>
          <w:sz w:val="24"/>
          <w:szCs w:val="24"/>
        </w:rPr>
        <w:t xml:space="preserve">modalità </w:t>
      </w:r>
      <w:r w:rsidRPr="0080356C">
        <w:rPr>
          <w:rFonts w:asciiTheme="minorHAnsi" w:hAnsiTheme="minorHAnsi" w:cstheme="minorHAnsi"/>
          <w:sz w:val="24"/>
          <w:szCs w:val="24"/>
        </w:rPr>
        <w:t>di applicazione</w:t>
      </w:r>
      <w:r w:rsidR="00BA3D28" w:rsidRPr="00AF38A8">
        <w:rPr>
          <w:rFonts w:asciiTheme="minorHAnsi" w:eastAsia="Times New Roman" w:hAnsiTheme="minorHAnsi" w:cstheme="minorHAnsi"/>
          <w:sz w:val="24"/>
          <w:szCs w:val="24"/>
        </w:rPr>
        <w:t xml:space="preserve"> della </w:t>
      </w:r>
      <w:r w:rsidRPr="0080356C">
        <w:rPr>
          <w:rFonts w:asciiTheme="minorHAnsi" w:hAnsiTheme="minorHAnsi" w:cstheme="minorHAnsi"/>
          <w:sz w:val="24"/>
          <w:szCs w:val="24"/>
        </w:rPr>
        <w:t xml:space="preserve">clausola sociale </w:t>
      </w:r>
      <w:r w:rsidRPr="0080356C">
        <w:rPr>
          <w:rFonts w:asciiTheme="minorHAnsi" w:hAnsiTheme="minorHAnsi" w:cstheme="minorHAnsi"/>
          <w:i/>
          <w:iCs/>
          <w:sz w:val="24"/>
          <w:szCs w:val="24"/>
        </w:rPr>
        <w:t xml:space="preserve">[eliminare la clausola se la stazione appaltante ha optato per l’inserimento nella </w:t>
      </w:r>
      <w:r w:rsidR="00BA3D28" w:rsidRPr="00AF38A8">
        <w:rPr>
          <w:rFonts w:asciiTheme="minorHAnsi" w:eastAsia="Times New Roman" w:hAnsiTheme="minorHAnsi" w:cstheme="minorHAnsi"/>
          <w:sz w:val="24"/>
          <w:szCs w:val="24"/>
        </w:rPr>
        <w:t xml:space="preserve">domanda di </w:t>
      </w:r>
      <w:r w:rsidRPr="0080356C">
        <w:rPr>
          <w:rFonts w:asciiTheme="minorHAnsi" w:hAnsiTheme="minorHAnsi" w:cstheme="minorHAnsi"/>
          <w:i/>
          <w:iCs/>
          <w:sz w:val="24"/>
          <w:szCs w:val="24"/>
        </w:rPr>
        <w:t>partecipazione];</w:t>
      </w:r>
    </w:p>
    <w:p w14:paraId="0C8BDD5D" w14:textId="77777777" w:rsidR="0080356C" w:rsidRPr="0080356C" w:rsidRDefault="0080356C" w:rsidP="00BD1359">
      <w:pPr>
        <w:spacing w:before="60" w:after="60" w:line="276" w:lineRule="auto"/>
        <w:jc w:val="both"/>
        <w:rPr>
          <w:rFonts w:asciiTheme="minorHAnsi" w:hAnsiTheme="minorHAnsi" w:cstheme="minorHAnsi"/>
          <w:sz w:val="24"/>
          <w:szCs w:val="24"/>
        </w:rPr>
      </w:pPr>
      <w:r w:rsidRPr="0080356C">
        <w:rPr>
          <w:rFonts w:asciiTheme="minorHAnsi" w:hAnsiTheme="minorHAnsi" w:cstheme="minorHAnsi"/>
          <w:b/>
          <w:bCs/>
          <w:i/>
          <w:iCs/>
          <w:sz w:val="24"/>
          <w:szCs w:val="24"/>
        </w:rPr>
        <w:t>[Se prevista la clausola sociale per le pari opportunità generazionali, di genere e di inclusione lavorativa per le persone con disabilità o svantaggiate]</w:t>
      </w:r>
      <w:r w:rsidRPr="0080356C">
        <w:rPr>
          <w:rFonts w:asciiTheme="minorHAnsi" w:hAnsiTheme="minorHAnsi" w:cstheme="minorHAnsi"/>
          <w:i/>
          <w:iCs/>
          <w:sz w:val="24"/>
          <w:szCs w:val="24"/>
        </w:rPr>
        <w:t xml:space="preserve"> </w:t>
      </w:r>
      <w:r w:rsidRPr="0080356C">
        <w:rPr>
          <w:rFonts w:asciiTheme="minorHAnsi" w:hAnsiTheme="minorHAnsi" w:cstheme="minorHAnsi"/>
          <w:sz w:val="24"/>
          <w:szCs w:val="24"/>
        </w:rPr>
        <w:t xml:space="preserve">Ai fini del rispetto della clausola sociale per le pari opportunità generazionali, di genere e di inclusione lavorativa per le persone con disabilità o svantaggiate di cui al punto , il concorrente …. </w:t>
      </w:r>
    </w:p>
    <w:p w14:paraId="6CB7E630" w14:textId="77777777" w:rsidR="0080356C" w:rsidRPr="0080356C" w:rsidRDefault="0080356C" w:rsidP="00BD1359">
      <w:pPr>
        <w:spacing w:before="60" w:after="60" w:line="276" w:lineRule="auto"/>
        <w:jc w:val="both"/>
        <w:rPr>
          <w:rFonts w:asciiTheme="minorHAnsi" w:hAnsiTheme="minorHAnsi" w:cstheme="minorHAnsi"/>
          <w:b/>
          <w:i/>
          <w:sz w:val="24"/>
          <w:szCs w:val="24"/>
        </w:rPr>
      </w:pPr>
      <w:r w:rsidRPr="0080356C">
        <w:rPr>
          <w:rFonts w:asciiTheme="minorHAnsi" w:hAnsiTheme="minorHAnsi" w:cstheme="minorHAnsi"/>
          <w:b/>
          <w:i/>
          <w:sz w:val="24"/>
          <w:szCs w:val="24"/>
        </w:rPr>
        <w:t>[facoltativo per la deroga di cui all’Ordinanza commissariale n. 140/2023]</w:t>
      </w:r>
    </w:p>
    <w:p w14:paraId="6606C27C" w14:textId="77777777" w:rsidR="0080356C" w:rsidRPr="0080356C" w:rsidRDefault="0080356C" w:rsidP="00BD1359">
      <w:pPr>
        <w:spacing w:before="60" w:after="60" w:line="276" w:lineRule="auto"/>
        <w:jc w:val="both"/>
        <w:rPr>
          <w:rFonts w:asciiTheme="minorHAnsi" w:eastAsia="Calibri" w:hAnsiTheme="minorHAnsi" w:cstheme="minorHAnsi"/>
          <w:color w:val="000000" w:themeColor="text1"/>
          <w:kern w:val="2"/>
          <w:sz w:val="24"/>
          <w:szCs w:val="24"/>
        </w:rPr>
      </w:pPr>
      <w:r w:rsidRPr="0080356C">
        <w:rPr>
          <w:rFonts w:asciiTheme="minorHAnsi" w:hAnsiTheme="minorHAnsi" w:cstheme="minorHAnsi"/>
          <w:b/>
          <w:i/>
          <w:sz w:val="24"/>
          <w:szCs w:val="24"/>
        </w:rPr>
        <w:t>[</w:t>
      </w:r>
      <w:r w:rsidRPr="0080356C">
        <w:rPr>
          <w:rFonts w:asciiTheme="minorHAnsi" w:hAnsiTheme="minorHAnsi" w:cstheme="minorHAnsi"/>
          <w:b/>
          <w:bCs/>
          <w:i/>
          <w:sz w:val="24"/>
          <w:szCs w:val="24"/>
        </w:rPr>
        <w:t xml:space="preserve">Per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0356C">
        <w:rPr>
          <w:rFonts w:asciiTheme="minorHAnsi" w:hAnsiTheme="minorHAnsi" w:cstheme="minorHAnsi"/>
          <w:b/>
          <w:i/>
          <w:sz w:val="24"/>
          <w:szCs w:val="24"/>
        </w:rPr>
        <w:t>decreto legge 31 maggio 2021, n. 77, convertito, con modificazioni, dalla legge 29 luglio 2021, n. 108, nel caso in cui la stazione appaltante scelga di richiedere la presentazione di tale dichiarazione nell’Offerta tecnica, anziché nella Domanda di partecipazione]</w:t>
      </w:r>
      <w:r w:rsidRPr="0080356C">
        <w:rPr>
          <w:rFonts w:asciiTheme="minorHAnsi" w:hAnsiTheme="minorHAnsi" w:cstheme="minorHAnsi"/>
          <w:b/>
          <w:sz w:val="24"/>
          <w:szCs w:val="24"/>
        </w:rPr>
        <w:t xml:space="preserve"> </w:t>
      </w:r>
      <w:r w:rsidRPr="0080356C">
        <w:rPr>
          <w:rFonts w:asciiTheme="minorHAnsi" w:hAnsiTheme="minorHAnsi" w:cstheme="minorHAnsi"/>
          <w:sz w:val="24"/>
          <w:szCs w:val="24"/>
        </w:rPr>
        <w:t xml:space="preserve">L’operatore economico dichiara di assumersi l’obbligo, in caso di aggiudicazione del contratto, di assicurare all’occupazione giovanile una quota di …. % </w:t>
      </w:r>
      <w:r w:rsidRPr="0080356C">
        <w:rPr>
          <w:rFonts w:asciiTheme="minorHAnsi" w:hAnsiTheme="minorHAnsi" w:cstheme="minorHAnsi"/>
          <w:i/>
          <w:iCs/>
          <w:sz w:val="24"/>
          <w:szCs w:val="24"/>
        </w:rPr>
        <w:t>[indicare la quota pari o superiore al 30% indicata dalla stazione appaltante ovvero quella inferiore in caso di deroga, ai sensi dell’articolo 47, comma 7, decreto legge n. 77/2021]</w:t>
      </w:r>
      <w:r w:rsidRPr="0080356C">
        <w:rPr>
          <w:rFonts w:asciiTheme="minorHAnsi" w:hAnsiTheme="minorHAnsi" w:cstheme="minorHAnsi"/>
          <w:sz w:val="24"/>
          <w:szCs w:val="24"/>
        </w:rPr>
        <w:t xml:space="preserve"> e a quella femminile una quota di …. % </w:t>
      </w:r>
      <w:r w:rsidRPr="0080356C">
        <w:rPr>
          <w:rFonts w:asciiTheme="minorHAnsi" w:hAnsiTheme="minorHAnsi" w:cstheme="minorHAnsi"/>
          <w:i/>
          <w:iCs/>
          <w:sz w:val="24"/>
          <w:szCs w:val="24"/>
        </w:rPr>
        <w:t xml:space="preserve">[indicare la quota pari o superiore </w:t>
      </w:r>
      <w:r w:rsidRPr="0080356C">
        <w:rPr>
          <w:rFonts w:asciiTheme="minorHAnsi" w:hAnsiTheme="minorHAnsi" w:cstheme="minorHAnsi"/>
          <w:i/>
          <w:iCs/>
          <w:sz w:val="24"/>
          <w:szCs w:val="24"/>
        </w:rPr>
        <w:lastRenderedPageBreak/>
        <w:t>al 30% indicata dalla stazione appaltante ovvero quella inferiore in caso di deroga, ai sensi dell’articolo 47, comma 7, decreto legge n. 77/2021]</w:t>
      </w:r>
      <w:r w:rsidRPr="0080356C">
        <w:rPr>
          <w:rFonts w:asciiTheme="minorHAnsi" w:hAnsiTheme="minorHAnsi" w:cstheme="minorHAnsi"/>
          <w:sz w:val="24"/>
          <w:szCs w:val="24"/>
        </w:rPr>
        <w:t xml:space="preserve"> delle assunzioni necessarie per l'esecuzione del contratto o per la realizzazione di attività ad esso connesse o strumentali.</w:t>
      </w:r>
      <w:r w:rsidRPr="0080356C">
        <w:rPr>
          <w:rFonts w:asciiTheme="minorHAnsi" w:eastAsia="Calibri" w:hAnsiTheme="minorHAnsi" w:cstheme="minorHAnsi"/>
          <w:color w:val="000000" w:themeColor="text1"/>
          <w:kern w:val="2"/>
          <w:sz w:val="24"/>
          <w:szCs w:val="24"/>
        </w:rPr>
        <w:t xml:space="preserve"> </w:t>
      </w:r>
    </w:p>
    <w:p w14:paraId="756C54CE" w14:textId="4618FD85"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L’operatore economico allega una dichiarazione firmata contenente i dettagli dell’offerta coperti da riservatezza, argomentando in modo congruo le ragioni per le quali eventuali parti dell’offerta sono da segretare.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57FE4909"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144D52E"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60" w:name="bookmark=id.sqyw64" w:colFirst="0" w:colLast="0"/>
      <w:bookmarkStart w:id="161" w:name="_Toc139277049"/>
      <w:bookmarkStart w:id="162" w:name="_Toc140929845"/>
      <w:bookmarkStart w:id="163" w:name="_Toc141027287"/>
      <w:bookmarkEnd w:id="160"/>
      <w:r w:rsidRPr="00AF38A8">
        <w:rPr>
          <w:rFonts w:asciiTheme="minorHAnsi" w:eastAsia="Times New Roman" w:hAnsiTheme="minorHAnsi" w:cstheme="minorHAnsi"/>
          <w:sz w:val="24"/>
          <w:szCs w:val="24"/>
        </w:rPr>
        <w:t>Offerta economica</w:t>
      </w:r>
      <w:bookmarkEnd w:id="161"/>
      <w:bookmarkEnd w:id="162"/>
      <w:bookmarkEnd w:id="163"/>
    </w:p>
    <w:p w14:paraId="58B329AA"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64" w:name="_heading=h.2mn7vak" w:colFirst="0" w:colLast="0"/>
      <w:bookmarkEnd w:id="164"/>
      <w:r w:rsidRPr="00AF38A8">
        <w:rPr>
          <w:rFonts w:asciiTheme="minorHAnsi" w:eastAsia="Times New Roman" w:hAnsiTheme="minorHAnsi" w:cstheme="minorHAnsi"/>
          <w:sz w:val="24"/>
          <w:szCs w:val="24"/>
        </w:rPr>
        <w:t>L’operatore economico inserisce [</w:t>
      </w:r>
      <w:r w:rsidRPr="00AF38A8">
        <w:rPr>
          <w:rFonts w:asciiTheme="minorHAnsi" w:eastAsia="Titillium" w:hAnsiTheme="minorHAnsi" w:cstheme="minorHAnsi"/>
          <w:i/>
          <w:sz w:val="24"/>
          <w:szCs w:val="24"/>
        </w:rPr>
        <w:t>in caso di gara a lotti inserire</w:t>
      </w:r>
      <w:r w:rsidRPr="00AF38A8">
        <w:rPr>
          <w:rFonts w:asciiTheme="minorHAnsi" w:eastAsia="Titillium" w:hAnsiTheme="minorHAnsi" w:cstheme="minorHAnsi"/>
          <w:sz w:val="24"/>
          <w:szCs w:val="24"/>
        </w:rPr>
        <w:t>: “</w:t>
      </w:r>
      <w:r w:rsidRPr="00AF38A8">
        <w:rPr>
          <w:rFonts w:asciiTheme="minorHAnsi" w:eastAsia="Times New Roman" w:hAnsiTheme="minorHAnsi" w:cstheme="minorHAnsi"/>
          <w:i/>
          <w:sz w:val="24"/>
          <w:szCs w:val="24"/>
        </w:rPr>
        <w:t>per ogni singolo lotto</w:t>
      </w:r>
      <w:r w:rsidRPr="00AF38A8">
        <w:rPr>
          <w:rFonts w:asciiTheme="minorHAnsi" w:eastAsia="Titillium" w:hAnsiTheme="minorHAnsi" w:cstheme="minorHAnsi"/>
          <w:sz w:val="24"/>
          <w:szCs w:val="24"/>
        </w:rPr>
        <w:t>”</w:t>
      </w:r>
      <w:r w:rsidRPr="00AF38A8">
        <w:rPr>
          <w:rFonts w:asciiTheme="minorHAnsi" w:eastAsia="Titillium" w:hAnsiTheme="minorHAnsi" w:cstheme="minorHAnsi"/>
          <w:i/>
          <w:sz w:val="24"/>
          <w:szCs w:val="24"/>
        </w:rPr>
        <w:t>]</w:t>
      </w:r>
      <w:r w:rsidRPr="00AF38A8">
        <w:rPr>
          <w:rFonts w:asciiTheme="minorHAnsi" w:eastAsia="Times New Roman" w:hAnsiTheme="minorHAnsi" w:cstheme="minorHAnsi"/>
          <w:sz w:val="24"/>
          <w:szCs w:val="24"/>
        </w:rPr>
        <w:t xml:space="preserve"> la documentazione economica, nella Piattaforma secondo le seguenti modalità … [</w:t>
      </w:r>
      <w:r w:rsidRPr="00AF38A8">
        <w:rPr>
          <w:rFonts w:asciiTheme="minorHAnsi" w:eastAsia="Titillium" w:hAnsiTheme="minorHAnsi" w:cstheme="minorHAnsi"/>
          <w:i/>
          <w:sz w:val="24"/>
          <w:szCs w:val="24"/>
        </w:rPr>
        <w:t>indicare</w:t>
      </w:r>
      <w:r w:rsidRPr="00AF38A8">
        <w:rPr>
          <w:rFonts w:asciiTheme="minorHAnsi" w:eastAsia="Times New Roman" w:hAnsiTheme="minorHAnsi" w:cstheme="minorHAnsi"/>
          <w:i/>
          <w:sz w:val="24"/>
          <w:szCs w:val="24"/>
        </w:rPr>
        <w:t xml:space="preserve"> le modalità</w:t>
      </w:r>
      <w:r w:rsidRPr="00AF38A8">
        <w:rPr>
          <w:rFonts w:asciiTheme="minorHAnsi" w:eastAsia="Times New Roman" w:hAnsiTheme="minorHAnsi" w:cstheme="minorHAnsi"/>
          <w:sz w:val="24"/>
          <w:szCs w:val="24"/>
        </w:rPr>
        <w:t>]. L’offerta economica firmata secondo le modalità di cui al precedente articolo 15.1, deve indicare, a pena di esclusione, i seguenti elementi:</w:t>
      </w:r>
    </w:p>
    <w:p w14:paraId="5CC84CBA" w14:textId="6C7B775C" w:rsidR="0076366E" w:rsidRPr="008646AC" w:rsidRDefault="00BA3D28" w:rsidP="00BD1359">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w:t>
      </w:r>
      <w:r w:rsidRPr="00AF38A8">
        <w:rPr>
          <w:rFonts w:asciiTheme="minorHAnsi" w:eastAsia="Times New Roman" w:hAnsiTheme="minorHAnsi" w:cstheme="minorHAnsi"/>
          <w:i/>
          <w:sz w:val="24"/>
          <w:szCs w:val="24"/>
        </w:rPr>
        <w:t>indicare il valore che la stazione appaltante intende richiedere, ad es.: ribasso percentuale o prezzo complessivo. In caso di richiesta di offerta su una pluralità di servizi, la stazione appaltante indica i singoli valori da richiedere per ciascuno di essi</w:t>
      </w:r>
      <w:r w:rsidRPr="00AF38A8">
        <w:rPr>
          <w:rFonts w:asciiTheme="minorHAnsi" w:eastAsia="Times New Roman" w:hAnsiTheme="minorHAnsi" w:cstheme="minorHAnsi"/>
          <w:sz w:val="24"/>
          <w:szCs w:val="24"/>
        </w:rPr>
        <w:t xml:space="preserve">] al netto di oneri previdenziali e assistenziali ed IVA. </w:t>
      </w:r>
      <w:r w:rsidR="003274FA" w:rsidRPr="00AF38A8">
        <w:rPr>
          <w:rFonts w:asciiTheme="minorHAnsi" w:eastAsia="Times New Roman" w:hAnsiTheme="minorHAnsi" w:cstheme="minorHAnsi"/>
          <w:sz w:val="24"/>
          <w:szCs w:val="24"/>
        </w:rPr>
        <w:t>[</w:t>
      </w:r>
      <w:r w:rsidR="003274FA" w:rsidRPr="0020079A">
        <w:rPr>
          <w:rFonts w:asciiTheme="minorHAnsi" w:eastAsia="Times New Roman" w:hAnsiTheme="minorHAnsi" w:cstheme="minorHAnsi"/>
          <w:i/>
          <w:sz w:val="24"/>
          <w:szCs w:val="24"/>
        </w:rPr>
        <w:t>specificare eventuali prescrizioni in ordine all’indicazione del costo del personale</w:t>
      </w:r>
      <w:r w:rsidR="003274FA"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sz w:val="24"/>
          <w:szCs w:val="24"/>
        </w:rPr>
        <w:t>Verranno prese in considerazione fino a … [</w:t>
      </w:r>
      <w:r w:rsidRPr="00AF38A8">
        <w:rPr>
          <w:rFonts w:asciiTheme="minorHAnsi" w:eastAsia="Times New Roman" w:hAnsiTheme="minorHAnsi" w:cstheme="minorHAnsi"/>
          <w:i/>
          <w:sz w:val="24"/>
          <w:szCs w:val="24"/>
        </w:rPr>
        <w:t>indicare il numero</w:t>
      </w:r>
      <w:r w:rsidRPr="00AF38A8">
        <w:rPr>
          <w:rFonts w:asciiTheme="minorHAnsi" w:eastAsia="Times New Roman" w:hAnsiTheme="minorHAnsi" w:cstheme="minorHAnsi"/>
          <w:sz w:val="24"/>
          <w:szCs w:val="24"/>
        </w:rPr>
        <w:t>] cifre decimali;</w:t>
      </w:r>
    </w:p>
    <w:p w14:paraId="77992699" w14:textId="41B41CB2" w:rsidR="008646AC" w:rsidRPr="00AF38A8" w:rsidRDefault="008646AC" w:rsidP="008646AC">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i/>
          <w:sz w:val="24"/>
          <w:szCs w:val="24"/>
        </w:rPr>
        <w:t xml:space="preserve"> per gli appalti di progettazione</w:t>
      </w:r>
      <w:r w:rsidRPr="00AF38A8">
        <w:rPr>
          <w:rFonts w:asciiTheme="minorHAnsi" w:eastAsia="Times New Roman" w:hAnsiTheme="minorHAnsi" w:cstheme="minorHAnsi"/>
          <w:sz w:val="24"/>
          <w:szCs w:val="24"/>
        </w:rPr>
        <w:t xml:space="preserve">] </w:t>
      </w:r>
      <w:r w:rsidRPr="006816F4">
        <w:rPr>
          <w:rFonts w:asciiTheme="minorHAnsi" w:eastAsia="Times New Roman" w:hAnsiTheme="minorHAnsi" w:cstheme="minorHAnsi"/>
          <w:sz w:val="24"/>
          <w:szCs w:val="24"/>
        </w:rPr>
        <w:t>Riduzione percentuale del tempo contrattuale</w:t>
      </w:r>
      <w:r w:rsidRPr="00AF38A8">
        <w:rPr>
          <w:rFonts w:asciiTheme="minorHAnsi" w:eastAsia="Times New Roman" w:hAnsiTheme="minorHAnsi" w:cstheme="minorHAnsi"/>
          <w:sz w:val="24"/>
          <w:szCs w:val="24"/>
        </w:rPr>
        <w:t>.</w:t>
      </w:r>
    </w:p>
    <w:p w14:paraId="496AA1C9" w14:textId="77777777" w:rsidR="008646AC" w:rsidRDefault="008646AC" w:rsidP="008646AC">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in tale caso, la stazione appaltante indica, nello schema di contratto, le penali che saranno applicate in caso di mancato rispetto della riduzione offerta</w:t>
      </w:r>
      <w:r w:rsidRPr="00AF38A8">
        <w:rPr>
          <w:rFonts w:asciiTheme="minorHAnsi" w:eastAsia="Times New Roman" w:hAnsiTheme="minorHAnsi" w:cstheme="minorHAnsi"/>
          <w:sz w:val="24"/>
          <w:szCs w:val="24"/>
        </w:rPr>
        <w:t>]</w:t>
      </w:r>
    </w:p>
    <w:p w14:paraId="1ACD6C92" w14:textId="77777777" w:rsidR="008646AC" w:rsidRPr="00AF38A8" w:rsidRDefault="008646AC" w:rsidP="008646AC">
      <w:pPr>
        <w:pBdr>
          <w:top w:val="single" w:sz="4" w:space="1" w:color="auto"/>
          <w:left w:val="single" w:sz="4" w:space="1" w:color="auto"/>
          <w:bottom w:val="single" w:sz="4" w:space="1" w:color="auto"/>
          <w:right w:val="single" w:sz="4" w:space="1" w:color="auto"/>
          <w:between w:val="nil"/>
        </w:pBdr>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N.B. Secondo il previgente bando tipo ANAC relativo ai SIA la </w:t>
      </w:r>
      <w:r w:rsidRPr="00AF38A8">
        <w:rPr>
          <w:rFonts w:asciiTheme="minorHAnsi" w:eastAsia="Times New Roman" w:hAnsiTheme="minorHAnsi" w:cstheme="minorHAnsi"/>
          <w:sz w:val="24"/>
          <w:szCs w:val="24"/>
        </w:rPr>
        <w:t>riduzione non può essere superiore al 20% del tempo di esecuzione previsto nella documentazione di gara.</w:t>
      </w:r>
    </w:p>
    <w:p w14:paraId="55CADAA1" w14:textId="579F0812" w:rsidR="008646AC" w:rsidRDefault="008646AC" w:rsidP="008646AC">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Sono inammissibili le offerte economiche che superino l’importo a base d’asta.</w:t>
      </w:r>
    </w:p>
    <w:p w14:paraId="0B0579ED" w14:textId="77777777" w:rsidR="008646AC" w:rsidRPr="00AF38A8" w:rsidRDefault="008646AC" w:rsidP="008646AC">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3359872" w14:textId="12DE629E" w:rsidR="0076366E"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65" w:name="_Toc139277050"/>
      <w:bookmarkStart w:id="166" w:name="_Toc140929846"/>
      <w:bookmarkStart w:id="167" w:name="_Toc141027288"/>
      <w:r w:rsidRPr="00AF38A8">
        <w:rPr>
          <w:rFonts w:asciiTheme="minorHAnsi" w:eastAsia="Times New Roman" w:hAnsiTheme="minorHAnsi" w:cstheme="minorHAnsi"/>
          <w:sz w:val="24"/>
          <w:szCs w:val="24"/>
        </w:rPr>
        <w:t>Criterio di aggiudicazione</w:t>
      </w:r>
      <w:bookmarkEnd w:id="165"/>
      <w:bookmarkEnd w:id="166"/>
      <w:bookmarkEnd w:id="167"/>
    </w:p>
    <w:p w14:paraId="787A02AA" w14:textId="77777777" w:rsidR="00117522" w:rsidRPr="00C04101" w:rsidRDefault="00117522" w:rsidP="00117522">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6942514" w14:textId="77777777" w:rsidR="00307663" w:rsidRPr="009751EC" w:rsidRDefault="00BA3D28" w:rsidP="00BD1359">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9751EC">
        <w:rPr>
          <w:rFonts w:ascii="Titillium" w:hAnsi="Titillium"/>
          <w:i/>
          <w:sz w:val="18"/>
          <w:szCs w:val="18"/>
        </w:rPr>
        <w:t xml:space="preserve">N.B. </w:t>
      </w:r>
      <w:r w:rsidR="00307663" w:rsidRPr="009751EC">
        <w:rPr>
          <w:rFonts w:ascii="Titillium" w:hAnsi="Titillium"/>
          <w:i/>
          <w:sz w:val="18"/>
          <w:szCs w:val="18"/>
        </w:rPr>
        <w:t xml:space="preserve">nella scelta del criterio di aggiudicazione, occorre considerare attentamente la necessità di garantire un equo compenso alla luce della più recente giurisprudenza sul punto con particolare riferimento all’applicazione nel settore della contrattualistica pubblica della legge 21 aprile 2023, n. 49 “Disposizioni in materia di equo compenso delle prestazioni professionali”. Sul punto, potranno essere diramate specifiche indicazioni. </w:t>
      </w:r>
    </w:p>
    <w:p w14:paraId="72EE971F" w14:textId="77777777" w:rsidR="00117522" w:rsidRDefault="00117522"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7DA027F" w14:textId="3D2FEEF2"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L’appalto è aggiudicato in base al criterio dell’offerta economicamente più vantaggiosa individuata sulla base del miglior rapporto qualità/prezzo.</w:t>
      </w:r>
    </w:p>
    <w:p w14:paraId="019EAB91"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valutazione dell’offerta tecnica e dell’offerta economica è effettuata in base ai seguenti punteggi [</w:t>
      </w:r>
      <w:r w:rsidRPr="00AF38A8">
        <w:rPr>
          <w:rFonts w:asciiTheme="minorHAnsi" w:eastAsia="Times New Roman" w:hAnsiTheme="minorHAnsi" w:cstheme="minorHAnsi"/>
          <w:i/>
          <w:sz w:val="24"/>
          <w:szCs w:val="24"/>
        </w:rPr>
        <w:t>la stazione appaltante, valorizza gli elementi qualitativi dell’offerta e individua criteri tali da garantire un confronto concorrenziale effettivo sui profili tecnici</w:t>
      </w:r>
      <w:r w:rsidRPr="00AF38A8">
        <w:rPr>
          <w:rFonts w:asciiTheme="minorHAnsi" w:eastAsia="Times New Roman" w:hAnsiTheme="minorHAnsi" w:cstheme="minorHAnsi"/>
          <w:sz w:val="24"/>
          <w:szCs w:val="24"/>
        </w:rPr>
        <w:t>].</w:t>
      </w:r>
    </w:p>
    <w:p w14:paraId="3F287CAB"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tbl>
      <w:tblPr>
        <w:tblStyle w:val="afff0"/>
        <w:tblW w:w="9214"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9"/>
        <w:gridCol w:w="4605"/>
      </w:tblGrid>
      <w:tr w:rsidR="00BA3D28" w:rsidRPr="00AF38A8" w14:paraId="178654F8" w14:textId="77777777">
        <w:trPr>
          <w:trHeight w:val="409"/>
        </w:trPr>
        <w:tc>
          <w:tcPr>
            <w:tcW w:w="4609" w:type="dxa"/>
            <w:shd w:val="clear" w:color="auto" w:fill="D9D9D9"/>
          </w:tcPr>
          <w:p w14:paraId="0F437F4C" w14:textId="77777777" w:rsidR="0076366E" w:rsidRPr="00AF38A8" w:rsidRDefault="0076366E" w:rsidP="00BD1359">
            <w:pPr>
              <w:pBdr>
                <w:top w:val="nil"/>
                <w:left w:val="nil"/>
                <w:bottom w:val="nil"/>
                <w:right w:val="nil"/>
                <w:between w:val="nil"/>
              </w:pBdr>
              <w:spacing w:line="276" w:lineRule="auto"/>
              <w:jc w:val="center"/>
              <w:rPr>
                <w:rFonts w:asciiTheme="minorHAnsi" w:eastAsia="Times New Roman" w:hAnsiTheme="minorHAnsi" w:cstheme="minorHAnsi"/>
                <w:sz w:val="24"/>
                <w:szCs w:val="24"/>
              </w:rPr>
            </w:pPr>
            <w:bookmarkStart w:id="168" w:name="_Hlk141026117"/>
          </w:p>
        </w:tc>
        <w:tc>
          <w:tcPr>
            <w:tcW w:w="4605" w:type="dxa"/>
            <w:shd w:val="clear" w:color="auto" w:fill="D9D9D9"/>
          </w:tcPr>
          <w:p w14:paraId="2B773704" w14:textId="1313FA7E" w:rsidR="0076366E" w:rsidRPr="00AF38A8" w:rsidRDefault="0020079A" w:rsidP="00BD1359">
            <w:pPr>
              <w:pBdr>
                <w:top w:val="nil"/>
                <w:left w:val="nil"/>
                <w:bottom w:val="nil"/>
                <w:right w:val="nil"/>
                <w:between w:val="nil"/>
              </w:pBdr>
              <w:spacing w:before="90" w:line="276" w:lineRule="auto"/>
              <w:ind w:left="150"/>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w:t>
            </w:r>
            <w:r w:rsidR="00BA3D28" w:rsidRPr="00AF38A8">
              <w:rPr>
                <w:rFonts w:asciiTheme="minorHAnsi" w:eastAsia="Times New Roman" w:hAnsiTheme="minorHAnsi" w:cstheme="minorHAnsi"/>
                <w:b/>
                <w:sz w:val="24"/>
                <w:szCs w:val="24"/>
              </w:rPr>
              <w:t>PUNTEGGIO MASSIMO</w:t>
            </w:r>
          </w:p>
        </w:tc>
      </w:tr>
      <w:tr w:rsidR="00BA3D28" w:rsidRPr="00AF38A8" w14:paraId="63071687" w14:textId="77777777">
        <w:trPr>
          <w:trHeight w:val="402"/>
        </w:trPr>
        <w:tc>
          <w:tcPr>
            <w:tcW w:w="4609" w:type="dxa"/>
          </w:tcPr>
          <w:p w14:paraId="177670A2" w14:textId="77777777" w:rsidR="0076366E" w:rsidRPr="0020079A" w:rsidRDefault="00BA3D28" w:rsidP="00BD1359">
            <w:pPr>
              <w:pBdr>
                <w:top w:val="nil"/>
                <w:left w:val="nil"/>
                <w:bottom w:val="nil"/>
                <w:right w:val="nil"/>
                <w:between w:val="nil"/>
              </w:pBdr>
              <w:spacing w:before="86" w:line="276" w:lineRule="auto"/>
              <w:ind w:left="213"/>
              <w:jc w:val="center"/>
              <w:rPr>
                <w:rFonts w:asciiTheme="minorHAnsi" w:eastAsia="Times New Roman" w:hAnsiTheme="minorHAnsi" w:cstheme="minorHAnsi"/>
                <w:b/>
                <w:sz w:val="24"/>
                <w:szCs w:val="24"/>
              </w:rPr>
            </w:pPr>
            <w:r w:rsidRPr="0020079A">
              <w:rPr>
                <w:rFonts w:asciiTheme="minorHAnsi" w:eastAsia="Times New Roman" w:hAnsiTheme="minorHAnsi" w:cstheme="minorHAnsi"/>
                <w:b/>
                <w:sz w:val="24"/>
                <w:szCs w:val="24"/>
              </w:rPr>
              <w:t>Offerta tecnica</w:t>
            </w:r>
          </w:p>
        </w:tc>
        <w:tc>
          <w:tcPr>
            <w:tcW w:w="4605" w:type="dxa"/>
          </w:tcPr>
          <w:p w14:paraId="35CBB5B8" w14:textId="77777777" w:rsidR="0076366E" w:rsidRPr="0020079A" w:rsidRDefault="00BA3D28" w:rsidP="00BD1359">
            <w:pPr>
              <w:pBdr>
                <w:top w:val="nil"/>
                <w:left w:val="nil"/>
                <w:bottom w:val="nil"/>
                <w:right w:val="nil"/>
                <w:between w:val="nil"/>
              </w:pBdr>
              <w:spacing w:before="77" w:line="276" w:lineRule="auto"/>
              <w:ind w:left="-417"/>
              <w:jc w:val="center"/>
              <w:rPr>
                <w:rFonts w:asciiTheme="minorHAnsi" w:eastAsia="Times New Roman" w:hAnsiTheme="minorHAnsi" w:cstheme="minorHAnsi"/>
                <w:b/>
                <w:i/>
                <w:sz w:val="24"/>
                <w:szCs w:val="24"/>
              </w:rPr>
            </w:pPr>
            <w:r w:rsidRPr="0020079A">
              <w:rPr>
                <w:rFonts w:asciiTheme="minorHAnsi" w:eastAsia="Times New Roman" w:hAnsiTheme="minorHAnsi" w:cstheme="minorHAnsi"/>
                <w:b/>
                <w:i/>
                <w:sz w:val="24"/>
                <w:szCs w:val="24"/>
              </w:rPr>
              <w:t>... [indicare punteggio]</w:t>
            </w:r>
          </w:p>
        </w:tc>
      </w:tr>
      <w:tr w:rsidR="00BA3D28" w:rsidRPr="00AF38A8" w14:paraId="4122095D" w14:textId="77777777">
        <w:trPr>
          <w:trHeight w:val="403"/>
        </w:trPr>
        <w:tc>
          <w:tcPr>
            <w:tcW w:w="4609" w:type="dxa"/>
          </w:tcPr>
          <w:p w14:paraId="21F82C36" w14:textId="77777777" w:rsidR="0076366E" w:rsidRPr="0020079A" w:rsidRDefault="00BA3D28" w:rsidP="00BD1359">
            <w:pPr>
              <w:pBdr>
                <w:top w:val="nil"/>
                <w:left w:val="nil"/>
                <w:bottom w:val="nil"/>
                <w:right w:val="nil"/>
                <w:between w:val="nil"/>
              </w:pBdr>
              <w:spacing w:before="86" w:line="276" w:lineRule="auto"/>
              <w:ind w:left="213"/>
              <w:jc w:val="center"/>
              <w:rPr>
                <w:rFonts w:asciiTheme="minorHAnsi" w:eastAsia="Times New Roman" w:hAnsiTheme="minorHAnsi" w:cstheme="minorHAnsi"/>
                <w:b/>
                <w:sz w:val="24"/>
                <w:szCs w:val="24"/>
              </w:rPr>
            </w:pPr>
            <w:r w:rsidRPr="0020079A">
              <w:rPr>
                <w:rFonts w:asciiTheme="minorHAnsi" w:eastAsia="Times New Roman" w:hAnsiTheme="minorHAnsi" w:cstheme="minorHAnsi"/>
                <w:b/>
                <w:sz w:val="24"/>
                <w:szCs w:val="24"/>
              </w:rPr>
              <w:t>Offerta economica</w:t>
            </w:r>
          </w:p>
        </w:tc>
        <w:tc>
          <w:tcPr>
            <w:tcW w:w="4605" w:type="dxa"/>
          </w:tcPr>
          <w:p w14:paraId="48C4CE10" w14:textId="77777777" w:rsidR="0076366E" w:rsidRPr="0020079A" w:rsidRDefault="00BA3D28" w:rsidP="00BD1359">
            <w:pPr>
              <w:pBdr>
                <w:top w:val="nil"/>
                <w:left w:val="nil"/>
                <w:bottom w:val="nil"/>
                <w:right w:val="nil"/>
                <w:between w:val="nil"/>
              </w:pBdr>
              <w:spacing w:before="77" w:line="276" w:lineRule="auto"/>
              <w:ind w:left="-417"/>
              <w:jc w:val="center"/>
              <w:rPr>
                <w:rFonts w:asciiTheme="minorHAnsi" w:eastAsia="Times New Roman" w:hAnsiTheme="minorHAnsi" w:cstheme="minorHAnsi"/>
                <w:b/>
                <w:i/>
                <w:sz w:val="24"/>
                <w:szCs w:val="24"/>
              </w:rPr>
            </w:pPr>
            <w:r w:rsidRPr="0020079A">
              <w:rPr>
                <w:rFonts w:asciiTheme="minorHAnsi" w:eastAsia="Times New Roman" w:hAnsiTheme="minorHAnsi" w:cstheme="minorHAnsi"/>
                <w:b/>
                <w:i/>
                <w:sz w:val="24"/>
                <w:szCs w:val="24"/>
              </w:rPr>
              <w:t>... [indicare punteggio]</w:t>
            </w:r>
          </w:p>
        </w:tc>
      </w:tr>
      <w:tr w:rsidR="001C5D9F" w:rsidRPr="00AF38A8" w14:paraId="25BB05E3" w14:textId="77777777">
        <w:trPr>
          <w:trHeight w:val="403"/>
        </w:trPr>
        <w:tc>
          <w:tcPr>
            <w:tcW w:w="4609" w:type="dxa"/>
          </w:tcPr>
          <w:p w14:paraId="6F783D9B" w14:textId="107633A3" w:rsidR="001C5D9F" w:rsidRPr="0020079A" w:rsidRDefault="001C5D9F" w:rsidP="00BD1359">
            <w:pPr>
              <w:pBdr>
                <w:top w:val="nil"/>
                <w:left w:val="nil"/>
                <w:bottom w:val="nil"/>
                <w:right w:val="nil"/>
                <w:between w:val="nil"/>
              </w:pBdr>
              <w:spacing w:before="86" w:line="276" w:lineRule="auto"/>
              <w:ind w:left="213"/>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Offerta tempo [facoltativo]</w:t>
            </w:r>
          </w:p>
        </w:tc>
        <w:tc>
          <w:tcPr>
            <w:tcW w:w="4605" w:type="dxa"/>
          </w:tcPr>
          <w:p w14:paraId="72E06621" w14:textId="3AB04241" w:rsidR="001C5D9F" w:rsidRPr="0020079A" w:rsidRDefault="001C5D9F" w:rsidP="00BD1359">
            <w:pPr>
              <w:pBdr>
                <w:top w:val="nil"/>
                <w:left w:val="nil"/>
                <w:bottom w:val="nil"/>
                <w:right w:val="nil"/>
                <w:between w:val="nil"/>
              </w:pBdr>
              <w:spacing w:before="77" w:line="276" w:lineRule="auto"/>
              <w:ind w:left="-417"/>
              <w:jc w:val="center"/>
              <w:rPr>
                <w:rFonts w:asciiTheme="minorHAnsi" w:eastAsia="Times New Roman" w:hAnsiTheme="minorHAnsi" w:cstheme="minorHAnsi"/>
                <w:b/>
                <w:i/>
                <w:sz w:val="24"/>
                <w:szCs w:val="24"/>
              </w:rPr>
            </w:pPr>
            <w:r w:rsidRPr="0020079A">
              <w:rPr>
                <w:rFonts w:asciiTheme="minorHAnsi" w:eastAsia="Times New Roman" w:hAnsiTheme="minorHAnsi" w:cstheme="minorHAnsi"/>
                <w:b/>
                <w:i/>
                <w:sz w:val="24"/>
                <w:szCs w:val="24"/>
              </w:rPr>
              <w:t>... [indicare punteggio]</w:t>
            </w:r>
          </w:p>
        </w:tc>
      </w:tr>
      <w:tr w:rsidR="00BA3D28" w:rsidRPr="00AF38A8" w14:paraId="4C83BE9C" w14:textId="77777777">
        <w:trPr>
          <w:trHeight w:val="402"/>
        </w:trPr>
        <w:tc>
          <w:tcPr>
            <w:tcW w:w="4609" w:type="dxa"/>
            <w:shd w:val="clear" w:color="auto" w:fill="D9D9D9"/>
          </w:tcPr>
          <w:p w14:paraId="51CE0E8C" w14:textId="77777777" w:rsidR="0076366E" w:rsidRPr="00AF38A8" w:rsidRDefault="00BA3D28" w:rsidP="00BD1359">
            <w:pPr>
              <w:pBdr>
                <w:top w:val="nil"/>
                <w:left w:val="nil"/>
                <w:bottom w:val="nil"/>
                <w:right w:val="nil"/>
                <w:between w:val="nil"/>
              </w:pBdr>
              <w:spacing w:before="85" w:line="276" w:lineRule="auto"/>
              <w:ind w:left="213"/>
              <w:jc w:val="right"/>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TOTALE</w:t>
            </w:r>
          </w:p>
        </w:tc>
        <w:tc>
          <w:tcPr>
            <w:tcW w:w="4605" w:type="dxa"/>
            <w:shd w:val="clear" w:color="auto" w:fill="D9D9D9"/>
          </w:tcPr>
          <w:p w14:paraId="691101ED" w14:textId="77777777" w:rsidR="0076366E" w:rsidRPr="00AF38A8" w:rsidRDefault="00BA3D28" w:rsidP="00BD1359">
            <w:pPr>
              <w:pBdr>
                <w:top w:val="nil"/>
                <w:left w:val="nil"/>
                <w:bottom w:val="nil"/>
                <w:right w:val="nil"/>
                <w:between w:val="nil"/>
              </w:pBdr>
              <w:spacing w:before="85" w:line="276" w:lineRule="auto"/>
              <w:ind w:left="-417"/>
              <w:jc w:val="center"/>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100</w:t>
            </w:r>
          </w:p>
        </w:tc>
      </w:tr>
      <w:bookmarkEnd w:id="168"/>
    </w:tbl>
    <w:p w14:paraId="75343485"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2D1A490" w14:textId="75B7E469" w:rsidR="005F46E8" w:rsidRPr="00117522" w:rsidRDefault="00BA3D28" w:rsidP="00117522">
      <w:pPr>
        <w:pStyle w:val="Titolo1"/>
        <w:numPr>
          <w:ilvl w:val="1"/>
          <w:numId w:val="18"/>
        </w:numPr>
        <w:spacing w:line="276" w:lineRule="auto"/>
        <w:jc w:val="both"/>
        <w:rPr>
          <w:rFonts w:asciiTheme="minorHAnsi" w:eastAsia="Times New Roman" w:hAnsiTheme="minorHAnsi" w:cstheme="minorHAnsi"/>
          <w:sz w:val="24"/>
          <w:szCs w:val="24"/>
        </w:rPr>
      </w:pPr>
      <w:bookmarkStart w:id="169" w:name="_Toc139277051"/>
      <w:bookmarkStart w:id="170" w:name="_Toc140929847"/>
      <w:bookmarkStart w:id="171" w:name="_Toc141027289"/>
      <w:r w:rsidRPr="00AF38A8">
        <w:rPr>
          <w:rFonts w:asciiTheme="minorHAnsi" w:eastAsia="Times New Roman" w:hAnsiTheme="minorHAnsi" w:cstheme="minorHAnsi"/>
          <w:sz w:val="24"/>
          <w:szCs w:val="24"/>
        </w:rPr>
        <w:t>Criteri di valutazione dell’offerta tecnica</w:t>
      </w:r>
      <w:bookmarkEnd w:id="169"/>
      <w:bookmarkEnd w:id="170"/>
      <w:bookmarkEnd w:id="171"/>
    </w:p>
    <w:p w14:paraId="6FD4FF5A" w14:textId="77777777" w:rsidR="005F46E8" w:rsidRPr="00BA3D2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Il punteggio dell’offerta tecnica è attribuito sulla base dei criteri di valutazione elencati nella sottostante tabella con la relativa ripartizione dei punteggi.</w:t>
      </w:r>
    </w:p>
    <w:p w14:paraId="59550AFE" w14:textId="77777777" w:rsidR="005F46E8" w:rsidRPr="00BA3D2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Nella colonna identificata con la lettera D vengono indicati i “Punteggi discrezionali”, vale a dire i punteggi il cui coefficiente è attribuito in ragione dell’esercizio della discrezionalità spettante alla commissione giudicatrice.</w:t>
      </w:r>
    </w:p>
    <w:p w14:paraId="2E93904F" w14:textId="77777777" w:rsidR="005F46E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Nella colonna identificata dalla lettera T vengono indicati i “Punteggi tabellari”, vale a dire i punteggi fissi e predefiniti che saranno attribuiti o non attribuiti in ragione dell’offerta o mancata offerta di quanto specificamente richiesto.</w:t>
      </w:r>
    </w:p>
    <w:p w14:paraId="6E13FEF6" w14:textId="77777777" w:rsidR="005F46E8" w:rsidRPr="00BA3D2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0292286" w14:textId="77777777" w:rsidR="005F46E8" w:rsidRPr="004F54B0" w:rsidRDefault="005F46E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4F54B0">
        <w:rPr>
          <w:rFonts w:asciiTheme="minorHAnsi" w:eastAsia="Times New Roman" w:hAnsiTheme="minorHAnsi" w:cstheme="minorHAnsi"/>
          <w:b/>
          <w:sz w:val="24"/>
          <w:szCs w:val="24"/>
        </w:rPr>
        <w:t>Tabella dei criteri discrezionali (D) e tabellari (T) di valutazione dell’offerta tecnica</w:t>
      </w:r>
    </w:p>
    <w:p w14:paraId="151E2B99" w14:textId="77777777" w:rsidR="005F46E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819"/>
        <w:gridCol w:w="1055"/>
        <w:gridCol w:w="993"/>
        <w:gridCol w:w="3298"/>
        <w:gridCol w:w="962"/>
        <w:gridCol w:w="978"/>
      </w:tblGrid>
      <w:tr w:rsidR="005F46E8" w14:paraId="70FA9FED" w14:textId="77777777" w:rsidTr="004A7E59">
        <w:trPr>
          <w:trHeight w:val="488"/>
          <w:jc w:val="center"/>
        </w:trPr>
        <w:tc>
          <w:tcPr>
            <w:tcW w:w="524" w:type="dxa"/>
            <w:tcBorders>
              <w:top w:val="single" w:sz="4" w:space="0" w:color="000000"/>
              <w:left w:val="single" w:sz="4" w:space="0" w:color="000000"/>
              <w:bottom w:val="single" w:sz="4" w:space="0" w:color="000000"/>
              <w:right w:val="single" w:sz="4" w:space="0" w:color="000000"/>
            </w:tcBorders>
            <w:shd w:val="clear" w:color="auto" w:fill="D9D9D9"/>
            <w:hideMark/>
          </w:tcPr>
          <w:p w14:paraId="417B59E9" w14:textId="77777777" w:rsidR="005F46E8" w:rsidRDefault="005F46E8" w:rsidP="00BD1359">
            <w:pPr>
              <w:spacing w:line="276" w:lineRule="auto"/>
              <w:ind w:left="170"/>
              <w:rPr>
                <w:rFonts w:asciiTheme="minorHAnsi" w:eastAsia="Times New Roman" w:hAnsiTheme="minorHAnsi" w:cs="Times New Roman"/>
                <w:b/>
                <w:sz w:val="24"/>
                <w:szCs w:val="24"/>
              </w:rPr>
            </w:pPr>
            <w:r>
              <w:rPr>
                <w:rFonts w:asciiTheme="minorHAnsi" w:eastAsia="Times New Roman" w:hAnsiTheme="minorHAnsi" w:cs="Times New Roman"/>
                <w:b/>
                <w:sz w:val="24"/>
                <w:szCs w:val="24"/>
              </w:rPr>
              <w:t>A</w:t>
            </w:r>
          </w:p>
        </w:tc>
        <w:tc>
          <w:tcPr>
            <w:tcW w:w="9103"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34350481" w14:textId="77777777" w:rsidR="005F46E8" w:rsidRDefault="005F46E8" w:rsidP="00BD1359">
            <w:pPr>
              <w:spacing w:line="276" w:lineRule="auto"/>
              <w:ind w:left="69"/>
              <w:rPr>
                <w:rFonts w:asciiTheme="minorHAnsi" w:eastAsia="Times New Roman" w:hAnsiTheme="minorHAnsi" w:cs="Times New Roman"/>
                <w:b/>
                <w:sz w:val="24"/>
                <w:szCs w:val="24"/>
              </w:rPr>
            </w:pPr>
            <w:r>
              <w:rPr>
                <w:rFonts w:asciiTheme="minorHAnsi" w:eastAsia="Times New Roman" w:hAnsiTheme="minorHAnsi" w:cs="Times New Roman"/>
                <w:b/>
                <w:sz w:val="24"/>
                <w:szCs w:val="24"/>
              </w:rPr>
              <w:t>PROFESSIONALITÀ ED ADEGUATEZZA DELL’OFFERTA</w:t>
            </w:r>
          </w:p>
        </w:tc>
      </w:tr>
      <w:tr w:rsidR="005F46E8" w14:paraId="472E8143" w14:textId="77777777" w:rsidTr="004A7E59">
        <w:trPr>
          <w:trHeight w:val="69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D9D9D9"/>
          </w:tcPr>
          <w:p w14:paraId="59D649D9" w14:textId="77777777" w:rsidR="005F46E8" w:rsidRDefault="005F46E8" w:rsidP="00BD1359">
            <w:pPr>
              <w:spacing w:line="276" w:lineRule="auto"/>
              <w:rPr>
                <w:rFonts w:asciiTheme="minorHAnsi" w:eastAsia="Times New Roman" w:hAnsiTheme="minorHAnsi"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DBE253" w14:textId="77777777" w:rsidR="005F46E8" w:rsidRDefault="005F46E8" w:rsidP="00BD1359">
            <w:pPr>
              <w:spacing w:line="276" w:lineRule="auto"/>
              <w:jc w:val="center"/>
              <w:rPr>
                <w:rFonts w:asciiTheme="minorHAnsi" w:eastAsia="Times New Roman" w:hAnsiTheme="minorHAnsi" w:cs="Times New Roman"/>
                <w:i/>
                <w:sz w:val="24"/>
                <w:szCs w:val="24"/>
              </w:rPr>
            </w:pPr>
            <w:r>
              <w:rPr>
                <w:rFonts w:asciiTheme="minorHAnsi" w:eastAsia="Times New Roman" w:hAnsiTheme="minorHAnsi" w:cs="Times New Roman"/>
                <w:i/>
                <w:sz w:val="24"/>
                <w:szCs w:val="24"/>
              </w:rPr>
              <w:t>Criterio</w:t>
            </w:r>
          </w:p>
        </w:tc>
        <w:tc>
          <w:tcPr>
            <w:tcW w:w="10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86517B" w14:textId="77777777" w:rsidR="005F46E8" w:rsidRDefault="005F46E8" w:rsidP="00BD1359">
            <w:pPr>
              <w:spacing w:line="276" w:lineRule="auto"/>
              <w:jc w:val="center"/>
              <w:rPr>
                <w:rFonts w:asciiTheme="minorHAnsi" w:eastAsia="Times New Roman" w:hAnsiTheme="minorHAnsi" w:cs="Times New Roman"/>
                <w:i/>
                <w:sz w:val="24"/>
                <w:szCs w:val="24"/>
              </w:rPr>
            </w:pPr>
            <w:r>
              <w:rPr>
                <w:rFonts w:asciiTheme="minorHAnsi" w:eastAsia="Times New Roman" w:hAnsiTheme="minorHAnsi" w:cs="Times New Roman"/>
                <w:i/>
                <w:sz w:val="24"/>
                <w:szCs w:val="24"/>
              </w:rPr>
              <w:t>Punti</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F0D8E4" w14:textId="77777777" w:rsidR="005F46E8" w:rsidRDefault="005F46E8" w:rsidP="00BD1359">
            <w:pPr>
              <w:spacing w:line="276" w:lineRule="auto"/>
              <w:jc w:val="center"/>
              <w:rPr>
                <w:rFonts w:asciiTheme="minorHAnsi" w:eastAsia="Times New Roman" w:hAnsiTheme="minorHAnsi" w:cs="Times New Roman"/>
                <w:i/>
                <w:sz w:val="24"/>
                <w:szCs w:val="24"/>
              </w:rPr>
            </w:pPr>
            <w:r>
              <w:rPr>
                <w:rFonts w:asciiTheme="minorHAnsi" w:eastAsia="Times New Roman" w:hAnsiTheme="minorHAnsi" w:cs="Times New Roman"/>
                <w:i/>
                <w:sz w:val="24"/>
                <w:szCs w:val="24"/>
              </w:rPr>
              <w:t>n.</w:t>
            </w:r>
          </w:p>
        </w:tc>
        <w:tc>
          <w:tcPr>
            <w:tcW w:w="3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BD6A4F" w14:textId="77777777" w:rsidR="005F46E8" w:rsidRDefault="005F46E8" w:rsidP="00BD1359">
            <w:pPr>
              <w:spacing w:line="276" w:lineRule="auto"/>
              <w:jc w:val="center"/>
              <w:rPr>
                <w:rFonts w:asciiTheme="minorHAnsi" w:eastAsia="Times New Roman" w:hAnsiTheme="minorHAnsi" w:cs="Times New Roman"/>
                <w:i/>
                <w:sz w:val="24"/>
                <w:szCs w:val="24"/>
              </w:rPr>
            </w:pPr>
            <w:r>
              <w:rPr>
                <w:rFonts w:asciiTheme="minorHAnsi" w:eastAsia="Times New Roman" w:hAnsiTheme="minorHAnsi" w:cs="Times New Roman"/>
                <w:i/>
                <w:sz w:val="24"/>
                <w:szCs w:val="24"/>
              </w:rPr>
              <w:t>Sub-criteri di valutazione</w:t>
            </w:r>
          </w:p>
        </w:tc>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A43D7B" w14:textId="77777777" w:rsidR="005F46E8" w:rsidRDefault="005F46E8" w:rsidP="00BD1359">
            <w:pPr>
              <w:spacing w:line="276" w:lineRule="auto"/>
              <w:ind w:left="77"/>
              <w:jc w:val="center"/>
              <w:rPr>
                <w:rFonts w:asciiTheme="minorHAnsi" w:eastAsia="Times New Roman" w:hAnsiTheme="minorHAnsi" w:cs="Times New Roman"/>
                <w:i/>
                <w:sz w:val="24"/>
                <w:szCs w:val="24"/>
              </w:rPr>
            </w:pPr>
            <w:r>
              <w:rPr>
                <w:rFonts w:asciiTheme="minorHAnsi" w:eastAsia="Times New Roman" w:hAnsiTheme="minorHAnsi" w:cs="Times New Roman"/>
                <w:i/>
                <w:sz w:val="24"/>
                <w:szCs w:val="24"/>
              </w:rPr>
              <w:t>punti D</w:t>
            </w:r>
          </w:p>
        </w:tc>
        <w:tc>
          <w:tcPr>
            <w:tcW w:w="9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D756ED" w14:textId="77777777" w:rsidR="005F46E8" w:rsidRDefault="005F46E8" w:rsidP="00BD1359">
            <w:pPr>
              <w:spacing w:line="276" w:lineRule="auto"/>
              <w:ind w:left="107"/>
              <w:jc w:val="center"/>
              <w:rPr>
                <w:rFonts w:asciiTheme="minorHAnsi" w:eastAsia="Times New Roman" w:hAnsiTheme="minorHAnsi" w:cs="Times New Roman"/>
                <w:i/>
                <w:sz w:val="24"/>
                <w:szCs w:val="24"/>
              </w:rPr>
            </w:pPr>
            <w:r>
              <w:rPr>
                <w:rFonts w:asciiTheme="minorHAnsi" w:eastAsia="Times New Roman" w:hAnsiTheme="minorHAnsi" w:cs="Times New Roman"/>
                <w:i/>
                <w:sz w:val="24"/>
                <w:szCs w:val="24"/>
              </w:rPr>
              <w:t>punti T</w:t>
            </w:r>
          </w:p>
        </w:tc>
      </w:tr>
      <w:tr w:rsidR="005F46E8" w14:paraId="3BD11689" w14:textId="77777777" w:rsidTr="004A7E59">
        <w:trPr>
          <w:trHeight w:val="561"/>
          <w:jc w:val="center"/>
        </w:trPr>
        <w:tc>
          <w:tcPr>
            <w:tcW w:w="524" w:type="dxa"/>
            <w:vMerge w:val="restart"/>
            <w:tcBorders>
              <w:top w:val="single" w:sz="4" w:space="0" w:color="000000"/>
              <w:left w:val="single" w:sz="4" w:space="0" w:color="000000"/>
              <w:bottom w:val="single" w:sz="4" w:space="0" w:color="000000"/>
              <w:right w:val="single" w:sz="4" w:space="0" w:color="000000"/>
            </w:tcBorders>
          </w:tcPr>
          <w:p w14:paraId="5E21C5E6" w14:textId="77777777" w:rsidR="005F46E8" w:rsidRDefault="005F46E8" w:rsidP="00BD1359">
            <w:pPr>
              <w:spacing w:line="276" w:lineRule="auto"/>
              <w:rPr>
                <w:rFonts w:asciiTheme="minorHAnsi" w:eastAsia="Times New Roman" w:hAnsiTheme="minorHAnsi" w:cs="Times New Roman"/>
                <w:b/>
                <w:i/>
                <w:sz w:val="24"/>
                <w:szCs w:val="24"/>
              </w:rPr>
            </w:pPr>
          </w:p>
          <w:p w14:paraId="50B1EB3C" w14:textId="77777777" w:rsidR="005F46E8" w:rsidRDefault="005F46E8" w:rsidP="00BD1359">
            <w:pPr>
              <w:spacing w:line="276" w:lineRule="auto"/>
              <w:rPr>
                <w:rFonts w:asciiTheme="minorHAnsi" w:eastAsia="Times New Roman" w:hAnsiTheme="minorHAnsi" w:cs="Times New Roman"/>
                <w:b/>
                <w:i/>
                <w:sz w:val="24"/>
                <w:szCs w:val="24"/>
              </w:rPr>
            </w:pPr>
          </w:p>
          <w:p w14:paraId="549A3F1A" w14:textId="77777777" w:rsidR="005F46E8" w:rsidRDefault="005F46E8" w:rsidP="00BD1359">
            <w:pPr>
              <w:spacing w:line="276" w:lineRule="auto"/>
              <w:ind w:left="69"/>
              <w:rPr>
                <w:rFonts w:asciiTheme="minorHAnsi" w:eastAsia="Times New Roman" w:hAnsiTheme="minorHAnsi" w:cs="Times New Roman"/>
                <w:sz w:val="24"/>
                <w:szCs w:val="24"/>
              </w:rPr>
            </w:pPr>
            <w:r>
              <w:rPr>
                <w:rFonts w:asciiTheme="minorHAnsi" w:eastAsia="Times New Roman" w:hAnsiTheme="minorHAnsi" w:cs="Times New Roman"/>
                <w:sz w:val="24"/>
                <w:szCs w:val="24"/>
              </w:rPr>
              <w:t>1</w:t>
            </w:r>
          </w:p>
        </w:tc>
        <w:tc>
          <w:tcPr>
            <w:tcW w:w="1818" w:type="dxa"/>
            <w:vMerge w:val="restart"/>
            <w:tcBorders>
              <w:top w:val="single" w:sz="4" w:space="0" w:color="000000"/>
              <w:left w:val="single" w:sz="4" w:space="0" w:color="000000"/>
              <w:bottom w:val="single" w:sz="4" w:space="0" w:color="000000"/>
              <w:right w:val="single" w:sz="4" w:space="0" w:color="000000"/>
            </w:tcBorders>
          </w:tcPr>
          <w:p w14:paraId="3C73AE46" w14:textId="77777777" w:rsidR="005F46E8" w:rsidRDefault="005F46E8" w:rsidP="00BD1359">
            <w:pPr>
              <w:spacing w:line="276" w:lineRule="auto"/>
              <w:rPr>
                <w:rFonts w:asciiTheme="minorHAnsi" w:eastAsia="Times New Roman" w:hAnsiTheme="minorHAnsi" w:cs="Times New Roman"/>
                <w:b/>
                <w:i/>
                <w:sz w:val="24"/>
                <w:szCs w:val="24"/>
              </w:rPr>
            </w:pPr>
          </w:p>
          <w:p w14:paraId="3CF18780" w14:textId="77777777" w:rsidR="005F46E8" w:rsidRDefault="005F46E8" w:rsidP="00BD1359">
            <w:pPr>
              <w:spacing w:line="276" w:lineRule="auto"/>
              <w:ind w:left="69"/>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Es. Professionalità e adeguatezza desunta da n … </w:t>
            </w:r>
            <w:r>
              <w:rPr>
                <w:rFonts w:asciiTheme="minorHAnsi" w:eastAsia="Times New Roman" w:hAnsiTheme="minorHAnsi" w:cs="Times New Roman"/>
                <w:i/>
                <w:sz w:val="24"/>
                <w:szCs w:val="24"/>
              </w:rPr>
              <w:t xml:space="preserve">[max 3] </w:t>
            </w:r>
            <w:r>
              <w:rPr>
                <w:rFonts w:asciiTheme="minorHAnsi" w:eastAsia="Times New Roman" w:hAnsiTheme="minorHAnsi" w:cs="Times New Roman"/>
                <w:sz w:val="24"/>
                <w:szCs w:val="24"/>
              </w:rPr>
              <w:t>servizi</w:t>
            </w:r>
          </w:p>
        </w:tc>
        <w:tc>
          <w:tcPr>
            <w:tcW w:w="1055" w:type="dxa"/>
            <w:vMerge w:val="restart"/>
            <w:tcBorders>
              <w:top w:val="single" w:sz="4" w:space="0" w:color="000000"/>
              <w:left w:val="single" w:sz="4" w:space="0" w:color="000000"/>
              <w:bottom w:val="single" w:sz="4" w:space="0" w:color="000000"/>
              <w:right w:val="single" w:sz="4" w:space="0" w:color="000000"/>
            </w:tcBorders>
          </w:tcPr>
          <w:p w14:paraId="18E80BB3" w14:textId="77777777" w:rsidR="005F46E8" w:rsidRDefault="005F46E8" w:rsidP="00BD1359">
            <w:pPr>
              <w:spacing w:line="276" w:lineRule="auto"/>
              <w:rPr>
                <w:rFonts w:asciiTheme="minorHAnsi" w:eastAsia="Times New Roman" w:hAnsiTheme="minorHAnsi" w:cs="Times New Roman"/>
                <w:b/>
                <w:i/>
                <w:sz w:val="24"/>
                <w:szCs w:val="24"/>
              </w:rPr>
            </w:pPr>
          </w:p>
          <w:p w14:paraId="19158F79" w14:textId="77777777" w:rsidR="005F46E8" w:rsidRDefault="005F46E8" w:rsidP="00BD1359">
            <w:pPr>
              <w:spacing w:line="276" w:lineRule="auto"/>
              <w:rPr>
                <w:rFonts w:asciiTheme="minorHAnsi" w:eastAsia="Times New Roman" w:hAnsiTheme="minorHAnsi" w:cs="Times New Roman"/>
                <w:b/>
                <w:i/>
                <w:sz w:val="24"/>
                <w:szCs w:val="24"/>
              </w:rPr>
            </w:pPr>
          </w:p>
          <w:p w14:paraId="6B2DC655" w14:textId="77777777" w:rsidR="005F46E8" w:rsidRDefault="005F46E8" w:rsidP="00BD1359">
            <w:pPr>
              <w:spacing w:line="276" w:lineRule="auto"/>
              <w:ind w:left="8"/>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14:paraId="561E9F9E" w14:textId="77777777" w:rsidR="005F46E8" w:rsidRDefault="005F46E8" w:rsidP="00BD1359">
            <w:pPr>
              <w:spacing w:line="276" w:lineRule="auto"/>
              <w:jc w:val="right"/>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3297" w:type="dxa"/>
            <w:tcBorders>
              <w:top w:val="single" w:sz="4" w:space="0" w:color="000000"/>
              <w:left w:val="single" w:sz="4" w:space="0" w:color="000000"/>
              <w:bottom w:val="single" w:sz="4" w:space="0" w:color="000000"/>
              <w:right w:val="single" w:sz="4" w:space="0" w:color="000000"/>
            </w:tcBorders>
            <w:hideMark/>
          </w:tcPr>
          <w:p w14:paraId="6FDE4A3C" w14:textId="77777777" w:rsidR="005F46E8" w:rsidRDefault="005F46E8" w:rsidP="00BD1359">
            <w:pPr>
              <w:spacing w:line="276" w:lineRule="auto"/>
              <w:ind w:left="751"/>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62" w:type="dxa"/>
            <w:tcBorders>
              <w:top w:val="single" w:sz="4" w:space="0" w:color="000000"/>
              <w:left w:val="single" w:sz="4" w:space="0" w:color="000000"/>
              <w:bottom w:val="single" w:sz="4" w:space="0" w:color="000000"/>
              <w:right w:val="single" w:sz="4" w:space="0" w:color="000000"/>
            </w:tcBorders>
            <w:hideMark/>
          </w:tcPr>
          <w:p w14:paraId="3DD2D7D5" w14:textId="77777777" w:rsidR="005F46E8" w:rsidRDefault="005F46E8" w:rsidP="00BD1359">
            <w:pPr>
              <w:spacing w:line="276" w:lineRule="auto"/>
              <w:ind w:left="13"/>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78" w:type="dxa"/>
            <w:tcBorders>
              <w:top w:val="single" w:sz="4" w:space="0" w:color="000000"/>
              <w:left w:val="single" w:sz="4" w:space="0" w:color="000000"/>
              <w:bottom w:val="single" w:sz="4" w:space="0" w:color="000000"/>
              <w:right w:val="single" w:sz="4" w:space="0" w:color="000000"/>
            </w:tcBorders>
            <w:hideMark/>
          </w:tcPr>
          <w:p w14:paraId="5CAEDFEB" w14:textId="77777777" w:rsidR="005F46E8" w:rsidRDefault="005F46E8" w:rsidP="00BD1359">
            <w:pPr>
              <w:spacing w:line="276" w:lineRule="auto"/>
              <w:ind w:left="14"/>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r>
      <w:tr w:rsidR="005F46E8" w14:paraId="003A3E45" w14:textId="77777777" w:rsidTr="004A7E59">
        <w:trPr>
          <w:trHeight w:val="561"/>
          <w:jc w:val="center"/>
        </w:trPr>
        <w:tc>
          <w:tcPr>
            <w:tcW w:w="7687" w:type="dxa"/>
            <w:vMerge/>
            <w:tcBorders>
              <w:top w:val="single" w:sz="4" w:space="0" w:color="000000"/>
              <w:left w:val="single" w:sz="4" w:space="0" w:color="000000"/>
              <w:bottom w:val="single" w:sz="4" w:space="0" w:color="000000"/>
              <w:right w:val="single" w:sz="4" w:space="0" w:color="000000"/>
            </w:tcBorders>
            <w:vAlign w:val="center"/>
            <w:hideMark/>
          </w:tcPr>
          <w:p w14:paraId="5F5A4947" w14:textId="77777777" w:rsidR="005F46E8" w:rsidRDefault="005F46E8" w:rsidP="00BD1359">
            <w:pPr>
              <w:widowControl/>
              <w:spacing w:line="276" w:lineRule="auto"/>
              <w:rPr>
                <w:rFonts w:asciiTheme="minorHAnsi" w:eastAsia="Times New Roman" w:hAnsiTheme="minorHAnsi" w:cs="Times New Roman"/>
                <w:kern w:val="3"/>
                <w:sz w:val="24"/>
                <w:szCs w:val="24"/>
                <w:lang w:eastAsia="en-US"/>
              </w:rPr>
            </w:pPr>
          </w:p>
        </w:tc>
        <w:tc>
          <w:tcPr>
            <w:tcW w:w="9103" w:type="dxa"/>
            <w:vMerge/>
            <w:tcBorders>
              <w:top w:val="single" w:sz="4" w:space="0" w:color="000000"/>
              <w:left w:val="single" w:sz="4" w:space="0" w:color="000000"/>
              <w:bottom w:val="single" w:sz="4" w:space="0" w:color="000000"/>
              <w:right w:val="single" w:sz="4" w:space="0" w:color="000000"/>
            </w:tcBorders>
            <w:vAlign w:val="center"/>
            <w:hideMark/>
          </w:tcPr>
          <w:p w14:paraId="25BA1BE2" w14:textId="77777777" w:rsidR="005F46E8" w:rsidRDefault="005F46E8" w:rsidP="00BD1359">
            <w:pPr>
              <w:widowControl/>
              <w:spacing w:line="276" w:lineRule="auto"/>
              <w:rPr>
                <w:rFonts w:asciiTheme="minorHAnsi" w:eastAsia="Times New Roman" w:hAnsiTheme="minorHAnsi" w:cs="Times New Roman"/>
                <w:kern w:val="3"/>
                <w:sz w:val="24"/>
                <w:szCs w:val="24"/>
                <w:lang w:eastAsia="en-US"/>
              </w:rPr>
            </w:pPr>
          </w:p>
        </w:tc>
        <w:tc>
          <w:tcPr>
            <w:tcW w:w="1055" w:type="dxa"/>
            <w:vMerge/>
            <w:tcBorders>
              <w:top w:val="single" w:sz="4" w:space="0" w:color="000000"/>
              <w:left w:val="single" w:sz="4" w:space="0" w:color="000000"/>
              <w:bottom w:val="single" w:sz="4" w:space="0" w:color="000000"/>
              <w:right w:val="single" w:sz="4" w:space="0" w:color="000000"/>
            </w:tcBorders>
            <w:vAlign w:val="center"/>
            <w:hideMark/>
          </w:tcPr>
          <w:p w14:paraId="6FCC86F0" w14:textId="77777777" w:rsidR="005F46E8" w:rsidRDefault="005F46E8" w:rsidP="00BD1359">
            <w:pPr>
              <w:widowControl/>
              <w:spacing w:line="276" w:lineRule="auto"/>
              <w:rPr>
                <w:rFonts w:asciiTheme="minorHAnsi" w:eastAsia="Times New Roman" w:hAnsiTheme="minorHAnsi" w:cs="Times New Roman"/>
                <w:kern w:val="3"/>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14619D3A" w14:textId="77777777" w:rsidR="005F46E8" w:rsidRDefault="005F46E8" w:rsidP="00BD1359">
            <w:pPr>
              <w:spacing w:line="276" w:lineRule="auto"/>
              <w:jc w:val="right"/>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3297" w:type="dxa"/>
            <w:tcBorders>
              <w:top w:val="single" w:sz="4" w:space="0" w:color="000000"/>
              <w:left w:val="single" w:sz="4" w:space="0" w:color="000000"/>
              <w:bottom w:val="single" w:sz="4" w:space="0" w:color="000000"/>
              <w:right w:val="single" w:sz="4" w:space="0" w:color="000000"/>
            </w:tcBorders>
            <w:hideMark/>
          </w:tcPr>
          <w:p w14:paraId="7FD96D3E" w14:textId="77777777" w:rsidR="005F46E8" w:rsidRDefault="005F46E8" w:rsidP="00BD1359">
            <w:pPr>
              <w:spacing w:line="276" w:lineRule="auto"/>
              <w:ind w:left="751"/>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62" w:type="dxa"/>
            <w:tcBorders>
              <w:top w:val="single" w:sz="4" w:space="0" w:color="000000"/>
              <w:left w:val="single" w:sz="4" w:space="0" w:color="000000"/>
              <w:bottom w:val="single" w:sz="4" w:space="0" w:color="000000"/>
              <w:right w:val="single" w:sz="4" w:space="0" w:color="000000"/>
            </w:tcBorders>
            <w:hideMark/>
          </w:tcPr>
          <w:p w14:paraId="5340E60C" w14:textId="77777777" w:rsidR="005F46E8" w:rsidRDefault="005F46E8" w:rsidP="00BD1359">
            <w:pPr>
              <w:spacing w:line="276" w:lineRule="auto"/>
              <w:ind w:left="13"/>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78" w:type="dxa"/>
            <w:tcBorders>
              <w:top w:val="single" w:sz="4" w:space="0" w:color="000000"/>
              <w:left w:val="single" w:sz="4" w:space="0" w:color="000000"/>
              <w:bottom w:val="single" w:sz="4" w:space="0" w:color="000000"/>
              <w:right w:val="single" w:sz="4" w:space="0" w:color="000000"/>
            </w:tcBorders>
            <w:hideMark/>
          </w:tcPr>
          <w:p w14:paraId="7BC64461" w14:textId="77777777" w:rsidR="005F46E8" w:rsidRDefault="005F46E8" w:rsidP="00BD1359">
            <w:pPr>
              <w:spacing w:line="276" w:lineRule="auto"/>
              <w:ind w:left="14"/>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r>
      <w:tr w:rsidR="005F46E8" w14:paraId="309B2827" w14:textId="77777777" w:rsidTr="004A7E59">
        <w:trPr>
          <w:trHeight w:val="560"/>
          <w:jc w:val="center"/>
        </w:trPr>
        <w:tc>
          <w:tcPr>
            <w:tcW w:w="7687" w:type="dxa"/>
            <w:vMerge/>
            <w:tcBorders>
              <w:top w:val="single" w:sz="4" w:space="0" w:color="000000"/>
              <w:left w:val="single" w:sz="4" w:space="0" w:color="000000"/>
              <w:bottom w:val="single" w:sz="4" w:space="0" w:color="000000"/>
              <w:right w:val="single" w:sz="4" w:space="0" w:color="000000"/>
            </w:tcBorders>
            <w:vAlign w:val="center"/>
            <w:hideMark/>
          </w:tcPr>
          <w:p w14:paraId="55738873" w14:textId="77777777" w:rsidR="005F46E8" w:rsidRDefault="005F46E8" w:rsidP="00BD1359">
            <w:pPr>
              <w:widowControl/>
              <w:spacing w:line="276" w:lineRule="auto"/>
              <w:rPr>
                <w:rFonts w:asciiTheme="minorHAnsi" w:eastAsia="Times New Roman" w:hAnsiTheme="minorHAnsi" w:cs="Times New Roman"/>
                <w:kern w:val="3"/>
                <w:sz w:val="24"/>
                <w:szCs w:val="24"/>
                <w:lang w:eastAsia="en-US"/>
              </w:rPr>
            </w:pPr>
          </w:p>
        </w:tc>
        <w:tc>
          <w:tcPr>
            <w:tcW w:w="9103" w:type="dxa"/>
            <w:vMerge/>
            <w:tcBorders>
              <w:top w:val="single" w:sz="4" w:space="0" w:color="000000"/>
              <w:left w:val="single" w:sz="4" w:space="0" w:color="000000"/>
              <w:bottom w:val="single" w:sz="4" w:space="0" w:color="000000"/>
              <w:right w:val="single" w:sz="4" w:space="0" w:color="000000"/>
            </w:tcBorders>
            <w:vAlign w:val="center"/>
            <w:hideMark/>
          </w:tcPr>
          <w:p w14:paraId="4C468423" w14:textId="77777777" w:rsidR="005F46E8" w:rsidRDefault="005F46E8" w:rsidP="00BD1359">
            <w:pPr>
              <w:widowControl/>
              <w:spacing w:line="276" w:lineRule="auto"/>
              <w:rPr>
                <w:rFonts w:asciiTheme="minorHAnsi" w:eastAsia="Times New Roman" w:hAnsiTheme="minorHAnsi" w:cs="Times New Roman"/>
                <w:kern w:val="3"/>
                <w:sz w:val="24"/>
                <w:szCs w:val="24"/>
                <w:lang w:eastAsia="en-US"/>
              </w:rPr>
            </w:pPr>
          </w:p>
        </w:tc>
        <w:tc>
          <w:tcPr>
            <w:tcW w:w="1055" w:type="dxa"/>
            <w:vMerge/>
            <w:tcBorders>
              <w:top w:val="single" w:sz="4" w:space="0" w:color="000000"/>
              <w:left w:val="single" w:sz="4" w:space="0" w:color="000000"/>
              <w:bottom w:val="single" w:sz="4" w:space="0" w:color="000000"/>
              <w:right w:val="single" w:sz="4" w:space="0" w:color="000000"/>
            </w:tcBorders>
            <w:vAlign w:val="center"/>
            <w:hideMark/>
          </w:tcPr>
          <w:p w14:paraId="48480B34" w14:textId="77777777" w:rsidR="005F46E8" w:rsidRDefault="005F46E8" w:rsidP="00BD1359">
            <w:pPr>
              <w:widowControl/>
              <w:spacing w:line="276" w:lineRule="auto"/>
              <w:rPr>
                <w:rFonts w:asciiTheme="minorHAnsi" w:eastAsia="Times New Roman" w:hAnsiTheme="minorHAnsi" w:cs="Times New Roman"/>
                <w:kern w:val="3"/>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0EE2B797" w14:textId="77777777" w:rsidR="005F46E8" w:rsidRDefault="005F46E8" w:rsidP="00BD1359">
            <w:pPr>
              <w:spacing w:line="276" w:lineRule="auto"/>
              <w:jc w:val="right"/>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3297" w:type="dxa"/>
            <w:tcBorders>
              <w:top w:val="single" w:sz="4" w:space="0" w:color="000000"/>
              <w:left w:val="single" w:sz="4" w:space="0" w:color="000000"/>
              <w:bottom w:val="single" w:sz="4" w:space="0" w:color="000000"/>
              <w:right w:val="single" w:sz="4" w:space="0" w:color="000000"/>
            </w:tcBorders>
            <w:hideMark/>
          </w:tcPr>
          <w:p w14:paraId="2AA9CC56" w14:textId="77777777" w:rsidR="005F46E8" w:rsidRDefault="005F46E8" w:rsidP="00BD1359">
            <w:pPr>
              <w:spacing w:line="276" w:lineRule="auto"/>
              <w:ind w:left="751"/>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62" w:type="dxa"/>
            <w:tcBorders>
              <w:top w:val="single" w:sz="4" w:space="0" w:color="000000"/>
              <w:left w:val="single" w:sz="4" w:space="0" w:color="000000"/>
              <w:bottom w:val="single" w:sz="4" w:space="0" w:color="000000"/>
              <w:right w:val="single" w:sz="4" w:space="0" w:color="000000"/>
            </w:tcBorders>
            <w:hideMark/>
          </w:tcPr>
          <w:p w14:paraId="4F10C6B9" w14:textId="77777777" w:rsidR="005F46E8" w:rsidRDefault="005F46E8" w:rsidP="00BD1359">
            <w:pPr>
              <w:spacing w:line="276" w:lineRule="auto"/>
              <w:ind w:left="13"/>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78" w:type="dxa"/>
            <w:tcBorders>
              <w:top w:val="single" w:sz="4" w:space="0" w:color="000000"/>
              <w:left w:val="single" w:sz="4" w:space="0" w:color="000000"/>
              <w:bottom w:val="single" w:sz="4" w:space="0" w:color="000000"/>
              <w:right w:val="single" w:sz="4" w:space="0" w:color="000000"/>
            </w:tcBorders>
            <w:hideMark/>
          </w:tcPr>
          <w:p w14:paraId="51A48BFC" w14:textId="77777777" w:rsidR="005F46E8" w:rsidRDefault="005F46E8" w:rsidP="00BD1359">
            <w:pPr>
              <w:spacing w:line="276" w:lineRule="auto"/>
              <w:ind w:left="14"/>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r>
      <w:tr w:rsidR="005F46E8" w14:paraId="4DE66574" w14:textId="77777777" w:rsidTr="004A7E59">
        <w:trPr>
          <w:trHeight w:val="444"/>
          <w:jc w:val="center"/>
        </w:trPr>
        <w:tc>
          <w:tcPr>
            <w:tcW w:w="7687"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4B601F55" w14:textId="77777777" w:rsidR="005F46E8" w:rsidRDefault="005F46E8" w:rsidP="00BD1359">
            <w:pPr>
              <w:spacing w:line="276" w:lineRule="auto"/>
              <w:jc w:val="right"/>
              <w:rPr>
                <w:rFonts w:asciiTheme="minorHAnsi" w:eastAsia="Times New Roman" w:hAnsiTheme="minorHAnsi" w:cs="Times New Roman"/>
                <w:sz w:val="24"/>
                <w:szCs w:val="24"/>
              </w:rPr>
            </w:pPr>
            <w:r>
              <w:rPr>
                <w:rFonts w:asciiTheme="minorHAnsi" w:eastAsia="Times New Roman" w:hAnsiTheme="minorHAnsi" w:cs="Times New Roman"/>
                <w:sz w:val="24"/>
                <w:szCs w:val="24"/>
              </w:rPr>
              <w:t>TOTALE PUNTI</w:t>
            </w:r>
          </w:p>
        </w:tc>
        <w:tc>
          <w:tcPr>
            <w:tcW w:w="962" w:type="dxa"/>
            <w:tcBorders>
              <w:top w:val="single" w:sz="4" w:space="0" w:color="000000"/>
              <w:left w:val="single" w:sz="4" w:space="0" w:color="000000"/>
              <w:bottom w:val="single" w:sz="4" w:space="0" w:color="000000"/>
              <w:right w:val="single" w:sz="4" w:space="0" w:color="000000"/>
            </w:tcBorders>
            <w:shd w:val="clear" w:color="auto" w:fill="D9D9D9"/>
            <w:hideMark/>
          </w:tcPr>
          <w:p w14:paraId="419EDE70" w14:textId="77777777" w:rsidR="005F46E8" w:rsidRDefault="005F46E8" w:rsidP="00BD1359">
            <w:pPr>
              <w:spacing w:line="276" w:lineRule="auto"/>
              <w:ind w:left="13"/>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78" w:type="dxa"/>
            <w:tcBorders>
              <w:top w:val="single" w:sz="4" w:space="0" w:color="000000"/>
              <w:left w:val="single" w:sz="4" w:space="0" w:color="000000"/>
              <w:bottom w:val="single" w:sz="4" w:space="0" w:color="000000"/>
              <w:right w:val="single" w:sz="4" w:space="0" w:color="000000"/>
            </w:tcBorders>
            <w:shd w:val="clear" w:color="auto" w:fill="D9D9D9"/>
            <w:hideMark/>
          </w:tcPr>
          <w:p w14:paraId="06C8515F" w14:textId="77777777" w:rsidR="005F46E8" w:rsidRDefault="005F46E8" w:rsidP="00BD1359">
            <w:pPr>
              <w:spacing w:line="276" w:lineRule="auto"/>
              <w:ind w:left="14"/>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r>
    </w:tbl>
    <w:p w14:paraId="1ACEF8F9" w14:textId="77777777" w:rsidR="005F46E8" w:rsidRDefault="005F46E8" w:rsidP="00BD1359">
      <w:pPr>
        <w:spacing w:line="276" w:lineRule="auto"/>
        <w:jc w:val="both"/>
        <w:rPr>
          <w:rFonts w:asciiTheme="minorHAnsi" w:eastAsia="Times New Roman" w:hAnsiTheme="minorHAnsi" w:cs="Times New Roman"/>
          <w:kern w:val="3"/>
          <w:sz w:val="24"/>
          <w:szCs w:val="24"/>
          <w:lang w:eastAsia="en-US"/>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1621"/>
        <w:gridCol w:w="936"/>
        <w:gridCol w:w="1134"/>
        <w:gridCol w:w="3396"/>
        <w:gridCol w:w="1002"/>
        <w:gridCol w:w="984"/>
      </w:tblGrid>
      <w:tr w:rsidR="005F46E8" w14:paraId="2BEF14F2" w14:textId="77777777" w:rsidTr="004A7E59">
        <w:trPr>
          <w:trHeight w:val="487"/>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hideMark/>
          </w:tcPr>
          <w:p w14:paraId="1132162B" w14:textId="77777777" w:rsidR="005F46E8" w:rsidRDefault="005F46E8" w:rsidP="00BD1359">
            <w:pPr>
              <w:spacing w:line="276" w:lineRule="auto"/>
              <w:ind w:left="7"/>
              <w:jc w:val="center"/>
              <w:rPr>
                <w:rFonts w:asciiTheme="minorHAnsi" w:eastAsia="Times New Roman" w:hAnsiTheme="minorHAnsi" w:cs="Times New Roman"/>
                <w:b/>
                <w:sz w:val="24"/>
                <w:szCs w:val="24"/>
              </w:rPr>
            </w:pPr>
            <w:r>
              <w:rPr>
                <w:rFonts w:asciiTheme="minorHAnsi" w:eastAsia="Times New Roman" w:hAnsiTheme="minorHAnsi" w:cs="Times New Roman"/>
                <w:b/>
                <w:sz w:val="24"/>
                <w:szCs w:val="24"/>
              </w:rPr>
              <w:t>B</w:t>
            </w:r>
          </w:p>
        </w:tc>
        <w:tc>
          <w:tcPr>
            <w:tcW w:w="9073"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9891B74" w14:textId="77777777" w:rsidR="005F46E8" w:rsidRDefault="005F46E8" w:rsidP="00BD1359">
            <w:pPr>
              <w:spacing w:line="276" w:lineRule="auto"/>
              <w:ind w:left="69"/>
              <w:rPr>
                <w:rFonts w:asciiTheme="minorHAnsi" w:eastAsia="Times New Roman" w:hAnsiTheme="minorHAnsi" w:cs="Times New Roman"/>
                <w:b/>
                <w:sz w:val="24"/>
                <w:szCs w:val="24"/>
              </w:rPr>
            </w:pPr>
            <w:r>
              <w:rPr>
                <w:rFonts w:asciiTheme="minorHAnsi" w:eastAsia="Times New Roman" w:hAnsiTheme="minorHAnsi" w:cs="Times New Roman"/>
                <w:b/>
                <w:sz w:val="24"/>
                <w:szCs w:val="24"/>
              </w:rPr>
              <w:t>CARATTERISTICHE METODOLOGICHE DELL’OFFERTA</w:t>
            </w:r>
          </w:p>
        </w:tc>
      </w:tr>
      <w:tr w:rsidR="005F46E8" w14:paraId="229D4FB1" w14:textId="77777777" w:rsidTr="004A7E59">
        <w:trPr>
          <w:trHeight w:val="48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cPr>
          <w:p w14:paraId="0E035FA9" w14:textId="77777777" w:rsidR="005F46E8" w:rsidRDefault="005F46E8" w:rsidP="00BD1359">
            <w:pPr>
              <w:spacing w:line="276" w:lineRule="auto"/>
              <w:rPr>
                <w:rFonts w:asciiTheme="minorHAnsi" w:eastAsia="Times New Roman" w:hAnsiTheme="minorHAnsi" w:cs="Times New Roman"/>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797E68" w14:textId="77777777" w:rsidR="005F46E8" w:rsidRDefault="005F46E8" w:rsidP="00BD1359">
            <w:pPr>
              <w:spacing w:line="276" w:lineRule="auto"/>
              <w:jc w:val="center"/>
              <w:rPr>
                <w:rFonts w:asciiTheme="minorHAnsi" w:eastAsia="Times New Roman" w:hAnsiTheme="minorHAnsi" w:cs="Times New Roman"/>
                <w:i/>
                <w:sz w:val="24"/>
                <w:szCs w:val="24"/>
              </w:rPr>
            </w:pPr>
            <w:r>
              <w:rPr>
                <w:rFonts w:asciiTheme="minorHAnsi" w:eastAsia="Times New Roman" w:hAnsiTheme="minorHAnsi" w:cs="Times New Roman"/>
                <w:i/>
                <w:sz w:val="24"/>
                <w:szCs w:val="24"/>
              </w:rPr>
              <w:t>Criterio</w:t>
            </w:r>
          </w:p>
        </w:tc>
        <w:tc>
          <w:tcPr>
            <w:tcW w:w="93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F33578" w14:textId="77777777" w:rsidR="005F46E8" w:rsidRDefault="005F46E8" w:rsidP="00BD1359">
            <w:pPr>
              <w:spacing w:line="276" w:lineRule="auto"/>
              <w:ind w:left="126"/>
              <w:jc w:val="center"/>
              <w:rPr>
                <w:rFonts w:asciiTheme="minorHAnsi" w:eastAsia="Times New Roman" w:hAnsiTheme="minorHAnsi" w:cs="Times New Roman"/>
                <w:i/>
                <w:sz w:val="24"/>
                <w:szCs w:val="24"/>
              </w:rPr>
            </w:pPr>
            <w:r>
              <w:rPr>
                <w:rFonts w:asciiTheme="minorHAnsi" w:eastAsia="Times New Roman" w:hAnsiTheme="minorHAnsi" w:cs="Times New Roman"/>
                <w:i/>
                <w:sz w:val="24"/>
                <w:szCs w:val="24"/>
              </w:rPr>
              <w:t>Punti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5726B2" w14:textId="77777777" w:rsidR="005F46E8" w:rsidRDefault="005F46E8" w:rsidP="00BD1359">
            <w:pPr>
              <w:spacing w:line="276" w:lineRule="auto"/>
              <w:ind w:left="270"/>
              <w:jc w:val="center"/>
              <w:rPr>
                <w:rFonts w:asciiTheme="minorHAnsi" w:eastAsia="Times New Roman" w:hAnsiTheme="minorHAnsi" w:cs="Times New Roman"/>
                <w:i/>
                <w:sz w:val="24"/>
                <w:szCs w:val="24"/>
              </w:rPr>
            </w:pPr>
            <w:r>
              <w:rPr>
                <w:rFonts w:asciiTheme="minorHAnsi" w:eastAsia="Times New Roman" w:hAnsiTheme="minorHAnsi" w:cs="Times New Roman"/>
                <w:i/>
                <w:sz w:val="24"/>
                <w:szCs w:val="24"/>
              </w:rPr>
              <w:t>n.</w:t>
            </w:r>
          </w:p>
        </w:tc>
        <w:tc>
          <w:tcPr>
            <w:tcW w:w="33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7435EE" w14:textId="77777777" w:rsidR="005F46E8" w:rsidRDefault="005F46E8" w:rsidP="00BD1359">
            <w:pPr>
              <w:spacing w:line="276" w:lineRule="auto"/>
              <w:jc w:val="center"/>
              <w:rPr>
                <w:rFonts w:asciiTheme="minorHAnsi" w:eastAsia="Times New Roman" w:hAnsiTheme="minorHAnsi" w:cs="Times New Roman"/>
                <w:i/>
                <w:sz w:val="24"/>
                <w:szCs w:val="24"/>
              </w:rPr>
            </w:pPr>
            <w:r>
              <w:rPr>
                <w:rFonts w:asciiTheme="minorHAnsi" w:eastAsia="Times New Roman" w:hAnsiTheme="minorHAnsi" w:cs="Times New Roman"/>
                <w:i/>
                <w:sz w:val="24"/>
                <w:szCs w:val="24"/>
              </w:rPr>
              <w:t>Sub-criteri di valutazione</w:t>
            </w:r>
          </w:p>
        </w:tc>
        <w:tc>
          <w:tcPr>
            <w:tcW w:w="10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45DF4D" w14:textId="77777777" w:rsidR="005F46E8" w:rsidRDefault="005F46E8" w:rsidP="00BD1359">
            <w:pPr>
              <w:spacing w:line="276" w:lineRule="auto"/>
              <w:ind w:left="125"/>
              <w:jc w:val="center"/>
              <w:rPr>
                <w:rFonts w:asciiTheme="minorHAnsi" w:eastAsia="Times New Roman" w:hAnsiTheme="minorHAnsi" w:cs="Times New Roman"/>
                <w:i/>
                <w:sz w:val="24"/>
                <w:szCs w:val="24"/>
              </w:rPr>
            </w:pPr>
            <w:r>
              <w:rPr>
                <w:rFonts w:asciiTheme="minorHAnsi" w:eastAsia="Times New Roman" w:hAnsiTheme="minorHAnsi" w:cs="Times New Roman"/>
                <w:i/>
                <w:sz w:val="24"/>
                <w:szCs w:val="24"/>
              </w:rPr>
              <w:t>punti D</w:t>
            </w:r>
          </w:p>
        </w:tc>
        <w:tc>
          <w:tcPr>
            <w:tcW w:w="9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9476C5" w14:textId="77777777" w:rsidR="005F46E8" w:rsidRDefault="005F46E8" w:rsidP="00BD1359">
            <w:pPr>
              <w:spacing w:line="276" w:lineRule="auto"/>
              <w:ind w:left="139"/>
              <w:jc w:val="center"/>
              <w:rPr>
                <w:rFonts w:asciiTheme="minorHAnsi" w:eastAsia="Times New Roman" w:hAnsiTheme="minorHAnsi" w:cs="Times New Roman"/>
                <w:i/>
                <w:sz w:val="24"/>
                <w:szCs w:val="24"/>
              </w:rPr>
            </w:pPr>
            <w:r>
              <w:rPr>
                <w:rFonts w:asciiTheme="minorHAnsi" w:eastAsia="Times New Roman" w:hAnsiTheme="minorHAnsi" w:cs="Times New Roman"/>
                <w:i/>
                <w:sz w:val="24"/>
                <w:szCs w:val="24"/>
              </w:rPr>
              <w:t>punti T</w:t>
            </w:r>
          </w:p>
        </w:tc>
      </w:tr>
      <w:tr w:rsidR="005F46E8" w14:paraId="78802D19" w14:textId="77777777" w:rsidTr="004A7E59">
        <w:trPr>
          <w:trHeight w:val="561"/>
          <w:jc w:val="center"/>
        </w:trPr>
        <w:tc>
          <w:tcPr>
            <w:tcW w:w="557" w:type="dxa"/>
            <w:vMerge w:val="restart"/>
            <w:tcBorders>
              <w:top w:val="single" w:sz="4" w:space="0" w:color="000000"/>
              <w:left w:val="single" w:sz="4" w:space="0" w:color="000000"/>
              <w:bottom w:val="single" w:sz="4" w:space="0" w:color="000000"/>
              <w:right w:val="single" w:sz="4" w:space="0" w:color="000000"/>
            </w:tcBorders>
          </w:tcPr>
          <w:p w14:paraId="0806F0E7" w14:textId="77777777" w:rsidR="005F46E8" w:rsidRDefault="005F46E8" w:rsidP="00BD1359">
            <w:pPr>
              <w:spacing w:line="276" w:lineRule="auto"/>
              <w:rPr>
                <w:rFonts w:asciiTheme="minorHAnsi" w:eastAsia="Times New Roman" w:hAnsiTheme="minorHAnsi" w:cs="Times New Roman"/>
                <w:b/>
                <w:i/>
                <w:sz w:val="24"/>
                <w:szCs w:val="24"/>
              </w:rPr>
            </w:pPr>
          </w:p>
          <w:p w14:paraId="0D5478DB" w14:textId="77777777" w:rsidR="005F46E8" w:rsidRDefault="005F46E8" w:rsidP="00BD1359">
            <w:pPr>
              <w:spacing w:line="276" w:lineRule="auto"/>
              <w:ind w:left="69"/>
              <w:rPr>
                <w:rFonts w:asciiTheme="minorHAnsi" w:eastAsia="Times New Roman" w:hAnsiTheme="minorHAnsi" w:cs="Times New Roman"/>
                <w:sz w:val="24"/>
                <w:szCs w:val="24"/>
              </w:rPr>
            </w:pPr>
            <w:r>
              <w:rPr>
                <w:rFonts w:asciiTheme="minorHAnsi" w:eastAsia="Times New Roman" w:hAnsiTheme="minorHAnsi" w:cs="Times New Roman"/>
                <w:sz w:val="24"/>
                <w:szCs w:val="24"/>
              </w:rPr>
              <w:t>1</w:t>
            </w:r>
          </w:p>
        </w:tc>
        <w:tc>
          <w:tcPr>
            <w:tcW w:w="1621" w:type="dxa"/>
            <w:vMerge w:val="restart"/>
            <w:tcBorders>
              <w:top w:val="single" w:sz="4" w:space="0" w:color="000000"/>
              <w:left w:val="single" w:sz="4" w:space="0" w:color="000000"/>
              <w:bottom w:val="single" w:sz="4" w:space="0" w:color="000000"/>
              <w:right w:val="single" w:sz="4" w:space="0" w:color="000000"/>
            </w:tcBorders>
          </w:tcPr>
          <w:p w14:paraId="7CAD201A" w14:textId="77777777" w:rsidR="005F46E8" w:rsidRDefault="005F46E8" w:rsidP="00BD1359">
            <w:pPr>
              <w:spacing w:line="276" w:lineRule="auto"/>
              <w:rPr>
                <w:rFonts w:asciiTheme="minorHAnsi" w:eastAsia="Times New Roman" w:hAnsiTheme="minorHAnsi" w:cs="Times New Roman"/>
                <w:b/>
                <w:i/>
                <w:sz w:val="24"/>
                <w:szCs w:val="24"/>
              </w:rPr>
            </w:pPr>
          </w:p>
          <w:p w14:paraId="18B58EA4" w14:textId="77777777" w:rsidR="005F46E8" w:rsidRDefault="005F46E8" w:rsidP="00BD1359">
            <w:pPr>
              <w:spacing w:line="276" w:lineRule="auto"/>
              <w:ind w:left="7"/>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36" w:type="dxa"/>
            <w:vMerge w:val="restart"/>
            <w:tcBorders>
              <w:top w:val="single" w:sz="4" w:space="0" w:color="000000"/>
              <w:left w:val="single" w:sz="4" w:space="0" w:color="000000"/>
              <w:bottom w:val="single" w:sz="4" w:space="0" w:color="000000"/>
              <w:right w:val="single" w:sz="4" w:space="0" w:color="000000"/>
            </w:tcBorders>
          </w:tcPr>
          <w:p w14:paraId="082DF389" w14:textId="77777777" w:rsidR="005F46E8" w:rsidRDefault="005F46E8" w:rsidP="00BD1359">
            <w:pPr>
              <w:spacing w:line="276" w:lineRule="auto"/>
              <w:rPr>
                <w:rFonts w:asciiTheme="minorHAnsi" w:eastAsia="Times New Roman" w:hAnsiTheme="minorHAnsi" w:cs="Times New Roman"/>
                <w:b/>
                <w:i/>
                <w:sz w:val="24"/>
                <w:szCs w:val="24"/>
              </w:rPr>
            </w:pPr>
          </w:p>
          <w:p w14:paraId="65E48CF5" w14:textId="77777777" w:rsidR="005F46E8" w:rsidRDefault="005F46E8" w:rsidP="00BD1359">
            <w:pPr>
              <w:spacing w:line="276" w:lineRule="auto"/>
              <w:ind w:left="6"/>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14:paraId="0C008A12" w14:textId="77777777" w:rsidR="005F46E8" w:rsidRDefault="005F46E8" w:rsidP="00BD1359">
            <w:pPr>
              <w:spacing w:line="276" w:lineRule="auto"/>
              <w:ind w:left="1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3396" w:type="dxa"/>
            <w:tcBorders>
              <w:top w:val="single" w:sz="4" w:space="0" w:color="000000"/>
              <w:left w:val="single" w:sz="4" w:space="0" w:color="000000"/>
              <w:bottom w:val="single" w:sz="4" w:space="0" w:color="000000"/>
              <w:right w:val="single" w:sz="4" w:space="0" w:color="000000"/>
            </w:tcBorders>
            <w:hideMark/>
          </w:tcPr>
          <w:p w14:paraId="0BBD79B5" w14:textId="77777777" w:rsidR="005F46E8" w:rsidRDefault="005F46E8" w:rsidP="00BD1359">
            <w:pPr>
              <w:spacing w:line="276" w:lineRule="auto"/>
              <w:ind w:left="776"/>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1002" w:type="dxa"/>
            <w:tcBorders>
              <w:top w:val="single" w:sz="4" w:space="0" w:color="000000"/>
              <w:left w:val="single" w:sz="4" w:space="0" w:color="000000"/>
              <w:bottom w:val="single" w:sz="4" w:space="0" w:color="000000"/>
              <w:right w:val="single" w:sz="4" w:space="0" w:color="000000"/>
            </w:tcBorders>
            <w:hideMark/>
          </w:tcPr>
          <w:p w14:paraId="7EF2CBD3" w14:textId="77777777" w:rsidR="005F46E8" w:rsidRDefault="005F46E8" w:rsidP="00BD1359">
            <w:pPr>
              <w:spacing w:line="276" w:lineRule="auto"/>
              <w:ind w:left="6"/>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84" w:type="dxa"/>
            <w:tcBorders>
              <w:top w:val="single" w:sz="4" w:space="0" w:color="000000"/>
              <w:left w:val="single" w:sz="4" w:space="0" w:color="000000"/>
              <w:bottom w:val="single" w:sz="4" w:space="0" w:color="000000"/>
              <w:right w:val="single" w:sz="4" w:space="0" w:color="000000"/>
            </w:tcBorders>
            <w:hideMark/>
          </w:tcPr>
          <w:p w14:paraId="43824AE6" w14:textId="77777777" w:rsidR="005F46E8" w:rsidRDefault="005F46E8" w:rsidP="00BD1359">
            <w:pPr>
              <w:spacing w:line="276" w:lineRule="auto"/>
              <w:ind w:left="7"/>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r>
      <w:tr w:rsidR="005F46E8" w14:paraId="72D36862" w14:textId="77777777" w:rsidTr="004A7E59">
        <w:trPr>
          <w:trHeight w:val="560"/>
          <w:jc w:val="center"/>
        </w:trPr>
        <w:tc>
          <w:tcPr>
            <w:tcW w:w="7644" w:type="dxa"/>
            <w:vMerge/>
            <w:tcBorders>
              <w:top w:val="single" w:sz="4" w:space="0" w:color="000000"/>
              <w:left w:val="single" w:sz="4" w:space="0" w:color="000000"/>
              <w:bottom w:val="single" w:sz="4" w:space="0" w:color="000000"/>
              <w:right w:val="single" w:sz="4" w:space="0" w:color="000000"/>
            </w:tcBorders>
            <w:vAlign w:val="center"/>
            <w:hideMark/>
          </w:tcPr>
          <w:p w14:paraId="684F0639" w14:textId="77777777" w:rsidR="005F46E8" w:rsidRDefault="005F46E8" w:rsidP="00BD1359">
            <w:pPr>
              <w:widowControl/>
              <w:spacing w:line="276" w:lineRule="auto"/>
              <w:rPr>
                <w:rFonts w:asciiTheme="minorHAnsi" w:eastAsia="Times New Roman" w:hAnsiTheme="minorHAnsi" w:cs="Times New Roman"/>
                <w:kern w:val="3"/>
                <w:sz w:val="24"/>
                <w:szCs w:val="24"/>
                <w:lang w:eastAsia="en-US"/>
              </w:rPr>
            </w:pPr>
          </w:p>
        </w:tc>
        <w:tc>
          <w:tcPr>
            <w:tcW w:w="9073" w:type="dxa"/>
            <w:vMerge/>
            <w:tcBorders>
              <w:top w:val="single" w:sz="4" w:space="0" w:color="000000"/>
              <w:left w:val="single" w:sz="4" w:space="0" w:color="000000"/>
              <w:bottom w:val="single" w:sz="4" w:space="0" w:color="000000"/>
              <w:right w:val="single" w:sz="4" w:space="0" w:color="000000"/>
            </w:tcBorders>
            <w:vAlign w:val="center"/>
            <w:hideMark/>
          </w:tcPr>
          <w:p w14:paraId="3AAEB982" w14:textId="77777777" w:rsidR="005F46E8" w:rsidRDefault="005F46E8" w:rsidP="00BD1359">
            <w:pPr>
              <w:widowControl/>
              <w:spacing w:line="276" w:lineRule="auto"/>
              <w:rPr>
                <w:rFonts w:asciiTheme="minorHAnsi" w:eastAsia="Times New Roman" w:hAnsiTheme="minorHAnsi" w:cs="Times New Roman"/>
                <w:kern w:val="3"/>
                <w:sz w:val="24"/>
                <w:szCs w:val="24"/>
                <w:lang w:eastAsia="en-US"/>
              </w:rPr>
            </w:pPr>
          </w:p>
        </w:tc>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5C0F9348" w14:textId="77777777" w:rsidR="005F46E8" w:rsidRDefault="005F46E8" w:rsidP="00BD1359">
            <w:pPr>
              <w:widowControl/>
              <w:spacing w:line="276" w:lineRule="auto"/>
              <w:rPr>
                <w:rFonts w:asciiTheme="minorHAnsi" w:eastAsia="Times New Roman" w:hAnsiTheme="minorHAnsi" w:cs="Times New Roman"/>
                <w:kern w:val="3"/>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5C920FF0" w14:textId="77777777" w:rsidR="005F46E8" w:rsidRDefault="005F46E8" w:rsidP="00BD1359">
            <w:pPr>
              <w:spacing w:line="276" w:lineRule="auto"/>
              <w:ind w:left="1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3396" w:type="dxa"/>
            <w:tcBorders>
              <w:top w:val="single" w:sz="4" w:space="0" w:color="000000"/>
              <w:left w:val="single" w:sz="4" w:space="0" w:color="000000"/>
              <w:bottom w:val="single" w:sz="4" w:space="0" w:color="000000"/>
              <w:right w:val="single" w:sz="4" w:space="0" w:color="000000"/>
            </w:tcBorders>
            <w:hideMark/>
          </w:tcPr>
          <w:p w14:paraId="6A7A61C5" w14:textId="77777777" w:rsidR="005F46E8" w:rsidRDefault="005F46E8" w:rsidP="00BD1359">
            <w:pPr>
              <w:spacing w:line="276" w:lineRule="auto"/>
              <w:ind w:left="776"/>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1002" w:type="dxa"/>
            <w:tcBorders>
              <w:top w:val="single" w:sz="4" w:space="0" w:color="000000"/>
              <w:left w:val="single" w:sz="4" w:space="0" w:color="000000"/>
              <w:bottom w:val="single" w:sz="4" w:space="0" w:color="000000"/>
              <w:right w:val="single" w:sz="4" w:space="0" w:color="000000"/>
            </w:tcBorders>
            <w:hideMark/>
          </w:tcPr>
          <w:p w14:paraId="7405BEDF" w14:textId="77777777" w:rsidR="005F46E8" w:rsidRDefault="005F46E8" w:rsidP="00BD1359">
            <w:pPr>
              <w:spacing w:line="276" w:lineRule="auto"/>
              <w:ind w:left="6"/>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84" w:type="dxa"/>
            <w:tcBorders>
              <w:top w:val="single" w:sz="4" w:space="0" w:color="000000"/>
              <w:left w:val="single" w:sz="4" w:space="0" w:color="000000"/>
              <w:bottom w:val="single" w:sz="4" w:space="0" w:color="000000"/>
              <w:right w:val="single" w:sz="4" w:space="0" w:color="000000"/>
            </w:tcBorders>
            <w:hideMark/>
          </w:tcPr>
          <w:p w14:paraId="1B7857F7" w14:textId="77777777" w:rsidR="005F46E8" w:rsidRDefault="005F46E8" w:rsidP="00BD1359">
            <w:pPr>
              <w:spacing w:line="276" w:lineRule="auto"/>
              <w:ind w:left="7"/>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r>
      <w:tr w:rsidR="005F46E8" w14:paraId="63EB9E06" w14:textId="77777777" w:rsidTr="004A7E59">
        <w:trPr>
          <w:trHeight w:val="561"/>
          <w:jc w:val="center"/>
        </w:trPr>
        <w:tc>
          <w:tcPr>
            <w:tcW w:w="557" w:type="dxa"/>
            <w:vMerge w:val="restart"/>
            <w:tcBorders>
              <w:top w:val="single" w:sz="4" w:space="0" w:color="000000"/>
              <w:left w:val="single" w:sz="4" w:space="0" w:color="000000"/>
              <w:bottom w:val="single" w:sz="4" w:space="0" w:color="000000"/>
              <w:right w:val="single" w:sz="4" w:space="0" w:color="000000"/>
            </w:tcBorders>
          </w:tcPr>
          <w:p w14:paraId="335866A5" w14:textId="77777777" w:rsidR="005F46E8" w:rsidRDefault="005F46E8" w:rsidP="00BD1359">
            <w:pPr>
              <w:spacing w:line="276" w:lineRule="auto"/>
              <w:rPr>
                <w:rFonts w:asciiTheme="minorHAnsi" w:eastAsia="Times New Roman" w:hAnsiTheme="minorHAnsi" w:cs="Times New Roman"/>
                <w:b/>
                <w:i/>
                <w:sz w:val="24"/>
                <w:szCs w:val="24"/>
              </w:rPr>
            </w:pPr>
          </w:p>
          <w:p w14:paraId="6166A946" w14:textId="77777777" w:rsidR="005F46E8" w:rsidRDefault="005F46E8" w:rsidP="00BD1359">
            <w:pPr>
              <w:spacing w:line="276" w:lineRule="auto"/>
              <w:ind w:left="69"/>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2</w:t>
            </w:r>
          </w:p>
        </w:tc>
        <w:tc>
          <w:tcPr>
            <w:tcW w:w="1621" w:type="dxa"/>
            <w:vMerge w:val="restart"/>
            <w:tcBorders>
              <w:top w:val="single" w:sz="4" w:space="0" w:color="000000"/>
              <w:left w:val="single" w:sz="4" w:space="0" w:color="000000"/>
              <w:bottom w:val="single" w:sz="4" w:space="0" w:color="000000"/>
              <w:right w:val="single" w:sz="4" w:space="0" w:color="000000"/>
            </w:tcBorders>
          </w:tcPr>
          <w:p w14:paraId="3A78BA65" w14:textId="77777777" w:rsidR="005F46E8" w:rsidRDefault="005F46E8" w:rsidP="00BD1359">
            <w:pPr>
              <w:spacing w:line="276" w:lineRule="auto"/>
              <w:rPr>
                <w:rFonts w:asciiTheme="minorHAnsi" w:eastAsia="Times New Roman" w:hAnsiTheme="minorHAnsi" w:cs="Times New Roman"/>
                <w:b/>
                <w:i/>
                <w:sz w:val="24"/>
                <w:szCs w:val="24"/>
              </w:rPr>
            </w:pPr>
          </w:p>
          <w:p w14:paraId="449397F9" w14:textId="77777777" w:rsidR="005F46E8" w:rsidRDefault="005F46E8" w:rsidP="00BD1359">
            <w:pPr>
              <w:spacing w:line="276" w:lineRule="auto"/>
              <w:ind w:left="7"/>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w:t>
            </w:r>
          </w:p>
        </w:tc>
        <w:tc>
          <w:tcPr>
            <w:tcW w:w="936" w:type="dxa"/>
            <w:vMerge w:val="restart"/>
            <w:tcBorders>
              <w:top w:val="single" w:sz="4" w:space="0" w:color="000000"/>
              <w:left w:val="single" w:sz="4" w:space="0" w:color="000000"/>
              <w:bottom w:val="single" w:sz="4" w:space="0" w:color="000000"/>
              <w:right w:val="single" w:sz="4" w:space="0" w:color="000000"/>
            </w:tcBorders>
          </w:tcPr>
          <w:p w14:paraId="6D39F8C8" w14:textId="77777777" w:rsidR="005F46E8" w:rsidRDefault="005F46E8" w:rsidP="00BD1359">
            <w:pPr>
              <w:spacing w:line="276" w:lineRule="auto"/>
              <w:rPr>
                <w:rFonts w:asciiTheme="minorHAnsi" w:eastAsia="Times New Roman" w:hAnsiTheme="minorHAnsi" w:cs="Times New Roman"/>
                <w:b/>
                <w:i/>
                <w:sz w:val="24"/>
                <w:szCs w:val="24"/>
              </w:rPr>
            </w:pPr>
          </w:p>
          <w:p w14:paraId="6409FBE0" w14:textId="77777777" w:rsidR="005F46E8" w:rsidRDefault="005F46E8" w:rsidP="00BD1359">
            <w:pPr>
              <w:spacing w:line="276" w:lineRule="auto"/>
              <w:ind w:left="6"/>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w:t>
            </w:r>
          </w:p>
        </w:tc>
        <w:tc>
          <w:tcPr>
            <w:tcW w:w="1134" w:type="dxa"/>
            <w:tcBorders>
              <w:top w:val="single" w:sz="4" w:space="0" w:color="000000"/>
              <w:left w:val="single" w:sz="4" w:space="0" w:color="000000"/>
              <w:bottom w:val="single" w:sz="4" w:space="0" w:color="000000"/>
              <w:right w:val="single" w:sz="4" w:space="0" w:color="000000"/>
            </w:tcBorders>
            <w:hideMark/>
          </w:tcPr>
          <w:p w14:paraId="6E10BDE1" w14:textId="77777777" w:rsidR="005F46E8" w:rsidRDefault="005F46E8" w:rsidP="00BD1359">
            <w:pPr>
              <w:spacing w:line="276" w:lineRule="auto"/>
              <w:ind w:left="1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w:t>
            </w:r>
          </w:p>
        </w:tc>
        <w:tc>
          <w:tcPr>
            <w:tcW w:w="3396" w:type="dxa"/>
            <w:tcBorders>
              <w:top w:val="single" w:sz="4" w:space="0" w:color="000000"/>
              <w:left w:val="single" w:sz="4" w:space="0" w:color="000000"/>
              <w:bottom w:val="single" w:sz="4" w:space="0" w:color="000000"/>
              <w:right w:val="single" w:sz="4" w:space="0" w:color="000000"/>
            </w:tcBorders>
            <w:hideMark/>
          </w:tcPr>
          <w:p w14:paraId="13514419" w14:textId="77777777" w:rsidR="005F46E8" w:rsidRDefault="005F46E8" w:rsidP="00BD1359">
            <w:pPr>
              <w:spacing w:line="276" w:lineRule="auto"/>
              <w:ind w:left="776"/>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1002" w:type="dxa"/>
            <w:tcBorders>
              <w:top w:val="single" w:sz="4" w:space="0" w:color="000000"/>
              <w:left w:val="single" w:sz="4" w:space="0" w:color="000000"/>
              <w:bottom w:val="single" w:sz="4" w:space="0" w:color="000000"/>
              <w:right w:val="single" w:sz="4" w:space="0" w:color="000000"/>
            </w:tcBorders>
            <w:hideMark/>
          </w:tcPr>
          <w:p w14:paraId="2FAE212A" w14:textId="77777777" w:rsidR="005F46E8" w:rsidRDefault="005F46E8" w:rsidP="00BD1359">
            <w:pPr>
              <w:spacing w:line="276" w:lineRule="auto"/>
              <w:ind w:left="6"/>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84" w:type="dxa"/>
            <w:tcBorders>
              <w:top w:val="single" w:sz="4" w:space="0" w:color="000000"/>
              <w:left w:val="single" w:sz="4" w:space="0" w:color="000000"/>
              <w:bottom w:val="single" w:sz="4" w:space="0" w:color="000000"/>
              <w:right w:val="single" w:sz="4" w:space="0" w:color="000000"/>
            </w:tcBorders>
            <w:hideMark/>
          </w:tcPr>
          <w:p w14:paraId="463B16EF" w14:textId="77777777" w:rsidR="005F46E8" w:rsidRDefault="005F46E8" w:rsidP="00BD1359">
            <w:pPr>
              <w:spacing w:line="276" w:lineRule="auto"/>
              <w:ind w:left="7"/>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r>
      <w:tr w:rsidR="005F46E8" w14:paraId="5121D00C" w14:textId="77777777" w:rsidTr="004A7E59">
        <w:trPr>
          <w:trHeight w:val="561"/>
          <w:jc w:val="center"/>
        </w:trPr>
        <w:tc>
          <w:tcPr>
            <w:tcW w:w="7644" w:type="dxa"/>
            <w:vMerge/>
            <w:tcBorders>
              <w:top w:val="single" w:sz="4" w:space="0" w:color="000000"/>
              <w:left w:val="single" w:sz="4" w:space="0" w:color="000000"/>
              <w:bottom w:val="single" w:sz="4" w:space="0" w:color="000000"/>
              <w:right w:val="single" w:sz="4" w:space="0" w:color="000000"/>
            </w:tcBorders>
            <w:vAlign w:val="center"/>
            <w:hideMark/>
          </w:tcPr>
          <w:p w14:paraId="611A25CB" w14:textId="77777777" w:rsidR="005F46E8" w:rsidRDefault="005F46E8" w:rsidP="00BD1359">
            <w:pPr>
              <w:widowControl/>
              <w:spacing w:line="276" w:lineRule="auto"/>
              <w:rPr>
                <w:rFonts w:asciiTheme="minorHAnsi" w:eastAsia="Times New Roman" w:hAnsiTheme="minorHAnsi" w:cs="Times New Roman"/>
                <w:kern w:val="3"/>
                <w:sz w:val="24"/>
                <w:szCs w:val="24"/>
                <w:lang w:eastAsia="en-US"/>
              </w:rPr>
            </w:pPr>
          </w:p>
        </w:tc>
        <w:tc>
          <w:tcPr>
            <w:tcW w:w="9073" w:type="dxa"/>
            <w:vMerge/>
            <w:tcBorders>
              <w:top w:val="single" w:sz="4" w:space="0" w:color="000000"/>
              <w:left w:val="single" w:sz="4" w:space="0" w:color="000000"/>
              <w:bottom w:val="single" w:sz="4" w:space="0" w:color="000000"/>
              <w:right w:val="single" w:sz="4" w:space="0" w:color="000000"/>
            </w:tcBorders>
            <w:vAlign w:val="center"/>
            <w:hideMark/>
          </w:tcPr>
          <w:p w14:paraId="4328BFE0" w14:textId="77777777" w:rsidR="005F46E8" w:rsidRDefault="005F46E8" w:rsidP="00BD1359">
            <w:pPr>
              <w:widowControl/>
              <w:spacing w:line="276" w:lineRule="auto"/>
              <w:rPr>
                <w:rFonts w:asciiTheme="minorHAnsi" w:eastAsia="Times New Roman" w:hAnsiTheme="minorHAnsi" w:cs="Times New Roman"/>
                <w:kern w:val="3"/>
                <w:sz w:val="24"/>
                <w:szCs w:val="24"/>
                <w:lang w:eastAsia="en-US"/>
              </w:rPr>
            </w:pPr>
          </w:p>
        </w:tc>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0D55DA22" w14:textId="77777777" w:rsidR="005F46E8" w:rsidRDefault="005F46E8" w:rsidP="00BD1359">
            <w:pPr>
              <w:widowControl/>
              <w:spacing w:line="276" w:lineRule="auto"/>
              <w:rPr>
                <w:rFonts w:asciiTheme="minorHAnsi" w:eastAsia="Times New Roman" w:hAnsiTheme="minorHAnsi" w:cs="Times New Roman"/>
                <w:kern w:val="3"/>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319DF117" w14:textId="77777777" w:rsidR="005F46E8" w:rsidRDefault="005F46E8" w:rsidP="00BD1359">
            <w:pPr>
              <w:spacing w:line="276" w:lineRule="auto"/>
              <w:ind w:left="1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3396" w:type="dxa"/>
            <w:tcBorders>
              <w:top w:val="single" w:sz="4" w:space="0" w:color="000000"/>
              <w:left w:val="single" w:sz="4" w:space="0" w:color="000000"/>
              <w:bottom w:val="single" w:sz="4" w:space="0" w:color="000000"/>
              <w:right w:val="single" w:sz="4" w:space="0" w:color="000000"/>
            </w:tcBorders>
            <w:hideMark/>
          </w:tcPr>
          <w:p w14:paraId="1336D5AD" w14:textId="77777777" w:rsidR="005F46E8" w:rsidRDefault="005F46E8" w:rsidP="00BD1359">
            <w:pPr>
              <w:spacing w:line="276" w:lineRule="auto"/>
              <w:ind w:left="776"/>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1002" w:type="dxa"/>
            <w:tcBorders>
              <w:top w:val="single" w:sz="4" w:space="0" w:color="000000"/>
              <w:left w:val="single" w:sz="4" w:space="0" w:color="000000"/>
              <w:bottom w:val="single" w:sz="4" w:space="0" w:color="000000"/>
              <w:right w:val="single" w:sz="4" w:space="0" w:color="000000"/>
            </w:tcBorders>
            <w:hideMark/>
          </w:tcPr>
          <w:p w14:paraId="39B00AEA" w14:textId="77777777" w:rsidR="005F46E8" w:rsidRDefault="005F46E8" w:rsidP="00BD1359">
            <w:pPr>
              <w:spacing w:line="276" w:lineRule="auto"/>
              <w:ind w:left="6"/>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84" w:type="dxa"/>
            <w:tcBorders>
              <w:top w:val="single" w:sz="4" w:space="0" w:color="000000"/>
              <w:left w:val="single" w:sz="4" w:space="0" w:color="000000"/>
              <w:bottom w:val="single" w:sz="4" w:space="0" w:color="000000"/>
              <w:right w:val="single" w:sz="4" w:space="0" w:color="000000"/>
            </w:tcBorders>
            <w:hideMark/>
          </w:tcPr>
          <w:p w14:paraId="319F8E46" w14:textId="77777777" w:rsidR="005F46E8" w:rsidRDefault="005F46E8" w:rsidP="00BD1359">
            <w:pPr>
              <w:spacing w:line="276" w:lineRule="auto"/>
              <w:ind w:left="7"/>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r>
      <w:tr w:rsidR="005F46E8" w14:paraId="2D95AD46" w14:textId="77777777" w:rsidTr="004A7E59">
        <w:trPr>
          <w:trHeight w:val="444"/>
          <w:jc w:val="center"/>
        </w:trPr>
        <w:tc>
          <w:tcPr>
            <w:tcW w:w="7644"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1937342E" w14:textId="77777777" w:rsidR="005F46E8" w:rsidRDefault="005F46E8" w:rsidP="00BD1359">
            <w:pPr>
              <w:spacing w:line="276" w:lineRule="auto"/>
              <w:jc w:val="right"/>
              <w:rPr>
                <w:rFonts w:asciiTheme="minorHAnsi" w:eastAsia="Times New Roman" w:hAnsiTheme="minorHAnsi" w:cs="Times New Roman"/>
                <w:b/>
                <w:sz w:val="24"/>
                <w:szCs w:val="24"/>
              </w:rPr>
            </w:pPr>
            <w:r>
              <w:rPr>
                <w:rFonts w:asciiTheme="minorHAnsi" w:eastAsia="Times New Roman" w:hAnsiTheme="minorHAnsi" w:cs="Times New Roman"/>
                <w:b/>
                <w:sz w:val="24"/>
                <w:szCs w:val="24"/>
              </w:rPr>
              <w:t>TOTALE PUNTI</w:t>
            </w:r>
          </w:p>
        </w:tc>
        <w:tc>
          <w:tcPr>
            <w:tcW w:w="1002" w:type="dxa"/>
            <w:tcBorders>
              <w:top w:val="single" w:sz="4" w:space="0" w:color="000000"/>
              <w:left w:val="single" w:sz="4" w:space="0" w:color="000000"/>
              <w:bottom w:val="single" w:sz="4" w:space="0" w:color="000000"/>
              <w:right w:val="single" w:sz="4" w:space="0" w:color="000000"/>
            </w:tcBorders>
            <w:shd w:val="clear" w:color="auto" w:fill="D9D9D9"/>
            <w:hideMark/>
          </w:tcPr>
          <w:p w14:paraId="75D977B0" w14:textId="77777777" w:rsidR="005F46E8" w:rsidRDefault="005F46E8" w:rsidP="00BD1359">
            <w:pPr>
              <w:spacing w:line="276" w:lineRule="auto"/>
              <w:ind w:left="6"/>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c>
          <w:tcPr>
            <w:tcW w:w="984" w:type="dxa"/>
            <w:tcBorders>
              <w:top w:val="single" w:sz="4" w:space="0" w:color="000000"/>
              <w:left w:val="single" w:sz="4" w:space="0" w:color="000000"/>
              <w:bottom w:val="single" w:sz="4" w:space="0" w:color="000000"/>
              <w:right w:val="single" w:sz="4" w:space="0" w:color="000000"/>
            </w:tcBorders>
            <w:shd w:val="clear" w:color="auto" w:fill="D9D9D9"/>
            <w:hideMark/>
          </w:tcPr>
          <w:p w14:paraId="32D196DF" w14:textId="77777777" w:rsidR="005F46E8" w:rsidRDefault="005F46E8" w:rsidP="00BD1359">
            <w:pPr>
              <w:spacing w:line="276" w:lineRule="auto"/>
              <w:ind w:left="7"/>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t>
            </w:r>
          </w:p>
        </w:tc>
      </w:tr>
    </w:tbl>
    <w:p w14:paraId="62251C1C" w14:textId="77777777" w:rsidR="005F46E8" w:rsidRDefault="005F46E8" w:rsidP="00BD1359">
      <w:pPr>
        <w:pBdr>
          <w:top w:val="nil"/>
          <w:left w:val="nil"/>
          <w:bottom w:val="nil"/>
          <w:right w:val="nil"/>
          <w:between w:val="nil"/>
        </w:pBdr>
        <w:spacing w:line="276" w:lineRule="auto"/>
        <w:jc w:val="both"/>
        <w:rPr>
          <w:rFonts w:asciiTheme="minorHAnsi" w:eastAsia="Times New Roman" w:hAnsiTheme="minorHAnsi" w:cs="Times New Roman"/>
          <w:sz w:val="24"/>
          <w:szCs w:val="24"/>
        </w:rPr>
      </w:pPr>
      <w:bookmarkStart w:id="172" w:name="_Hlk140928507"/>
    </w:p>
    <w:bookmarkEnd w:id="172"/>
    <w:p w14:paraId="44B45B87" w14:textId="77777777" w:rsidR="005F46E8" w:rsidRPr="00BA3D28" w:rsidRDefault="005F46E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BA3D28">
        <w:rPr>
          <w:rFonts w:asciiTheme="minorHAnsi" w:eastAsia="Times New Roman" w:hAnsiTheme="minorHAnsi" w:cstheme="minorHAnsi"/>
          <w:b/>
          <w:i/>
          <w:sz w:val="24"/>
          <w:szCs w:val="24"/>
        </w:rPr>
        <w:t xml:space="preserve"> [</w:t>
      </w:r>
      <w:r>
        <w:rPr>
          <w:rFonts w:asciiTheme="minorHAnsi" w:eastAsia="Times New Roman" w:hAnsiTheme="minorHAnsi" w:cstheme="minorHAnsi"/>
          <w:b/>
          <w:i/>
          <w:sz w:val="24"/>
          <w:szCs w:val="24"/>
        </w:rPr>
        <w:t>I</w:t>
      </w:r>
      <w:r w:rsidRPr="00BA3D28">
        <w:rPr>
          <w:rFonts w:asciiTheme="minorHAnsi" w:eastAsia="Times New Roman" w:hAnsiTheme="minorHAnsi" w:cstheme="minorHAnsi"/>
          <w:b/>
          <w:i/>
          <w:sz w:val="24"/>
          <w:szCs w:val="24"/>
        </w:rPr>
        <w:t xml:space="preserve">nterventi rientranti nel campo di applicazione del d.m. </w:t>
      </w:r>
      <w:r>
        <w:rPr>
          <w:rFonts w:asciiTheme="minorHAnsi" w:eastAsia="Times New Roman" w:hAnsiTheme="minorHAnsi" w:cstheme="minorHAnsi"/>
          <w:b/>
          <w:i/>
          <w:sz w:val="24"/>
          <w:szCs w:val="24"/>
        </w:rPr>
        <w:t>22 giugno 2022, si veda</w:t>
      </w:r>
      <w:r w:rsidRPr="00AF38A8">
        <w:rPr>
          <w:rFonts w:asciiTheme="minorHAnsi" w:eastAsia="Times New Roman" w:hAnsiTheme="minorHAnsi" w:cstheme="minorHAnsi"/>
          <w:b/>
          <w:i/>
          <w:sz w:val="24"/>
          <w:szCs w:val="24"/>
        </w:rPr>
        <w:t xml:space="preserve"> </w:t>
      </w:r>
      <w:r>
        <w:rPr>
          <w:rFonts w:asciiTheme="minorHAnsi" w:eastAsia="Times New Roman" w:hAnsiTheme="minorHAnsi" w:cstheme="minorHAnsi"/>
          <w:b/>
          <w:i/>
          <w:sz w:val="24"/>
          <w:szCs w:val="24"/>
        </w:rPr>
        <w:t>il paragrafo 2.7</w:t>
      </w:r>
      <w:r w:rsidRPr="00BA3D28">
        <w:rPr>
          <w:rFonts w:asciiTheme="minorHAnsi" w:eastAsia="Times New Roman" w:hAnsiTheme="minorHAnsi" w:cstheme="minorHAnsi"/>
          <w:b/>
          <w:i/>
          <w:sz w:val="24"/>
          <w:szCs w:val="24"/>
        </w:rPr>
        <w:t>]</w:t>
      </w:r>
    </w:p>
    <w:p w14:paraId="56281F76" w14:textId="77777777" w:rsidR="005F46E8" w:rsidRPr="00BA3D2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tbl>
      <w:tblPr>
        <w:tblStyle w:val="afff4"/>
        <w:tblW w:w="9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6931"/>
        <w:gridCol w:w="1077"/>
        <w:gridCol w:w="1077"/>
      </w:tblGrid>
      <w:tr w:rsidR="005F46E8" w:rsidRPr="00BA3D28" w14:paraId="33B7E570" w14:textId="77777777" w:rsidTr="004A7E59">
        <w:trPr>
          <w:trHeight w:val="1104"/>
          <w:jc w:val="center"/>
        </w:trPr>
        <w:tc>
          <w:tcPr>
            <w:tcW w:w="542" w:type="dxa"/>
            <w:shd w:val="clear" w:color="auto" w:fill="D9D9D9"/>
          </w:tcPr>
          <w:p w14:paraId="5C4BCE67" w14:textId="77777777" w:rsidR="005F46E8" w:rsidRPr="00BA3D28" w:rsidRDefault="005F46E8" w:rsidP="00BD1359">
            <w:pPr>
              <w:pBdr>
                <w:top w:val="nil"/>
                <w:left w:val="nil"/>
                <w:bottom w:val="nil"/>
                <w:right w:val="nil"/>
                <w:between w:val="nil"/>
              </w:pBdr>
              <w:spacing w:before="27" w:line="276" w:lineRule="auto"/>
              <w:jc w:val="right"/>
              <w:rPr>
                <w:rFonts w:asciiTheme="minorHAnsi" w:eastAsia="Times New Roman" w:hAnsiTheme="minorHAnsi" w:cstheme="minorHAnsi"/>
                <w:b/>
                <w:sz w:val="24"/>
                <w:szCs w:val="24"/>
              </w:rPr>
            </w:pPr>
            <w:r>
              <w:rPr>
                <w:rFonts w:asciiTheme="minorHAnsi" w:eastAsia="Times New Roman" w:hAnsiTheme="minorHAnsi" w:cstheme="minorHAnsi"/>
                <w:b/>
                <w:sz w:val="24"/>
                <w:szCs w:val="24"/>
              </w:rPr>
              <w:t>C</w:t>
            </w:r>
          </w:p>
        </w:tc>
        <w:tc>
          <w:tcPr>
            <w:tcW w:w="9085" w:type="dxa"/>
            <w:gridSpan w:val="3"/>
            <w:shd w:val="clear" w:color="auto" w:fill="D9D9D9"/>
          </w:tcPr>
          <w:p w14:paraId="633A2BC5" w14:textId="77777777" w:rsidR="005F46E8" w:rsidRPr="00BA3D28" w:rsidRDefault="005F46E8" w:rsidP="00BD1359">
            <w:pPr>
              <w:pBdr>
                <w:top w:val="nil"/>
                <w:left w:val="nil"/>
                <w:bottom w:val="nil"/>
                <w:right w:val="nil"/>
                <w:between w:val="nil"/>
              </w:pBdr>
              <w:spacing w:before="27" w:line="276" w:lineRule="auto"/>
              <w:ind w:left="69"/>
              <w:jc w:val="both"/>
              <w:rPr>
                <w:rFonts w:asciiTheme="minorHAnsi" w:eastAsia="Times New Roman" w:hAnsiTheme="minorHAnsi" w:cstheme="minorHAnsi"/>
                <w:b/>
                <w:sz w:val="24"/>
                <w:szCs w:val="24"/>
              </w:rPr>
            </w:pPr>
            <w:r w:rsidRPr="00BA3D28">
              <w:rPr>
                <w:rFonts w:asciiTheme="minorHAnsi" w:eastAsia="Times New Roman" w:hAnsiTheme="minorHAnsi" w:cstheme="minorHAnsi"/>
                <w:b/>
                <w:sz w:val="24"/>
                <w:szCs w:val="24"/>
              </w:rPr>
              <w:t xml:space="preserve">CRITERI PREMIANTI DI CUI AL D.M. </w:t>
            </w:r>
            <w:r>
              <w:rPr>
                <w:rFonts w:asciiTheme="minorHAnsi" w:eastAsia="Times New Roman" w:hAnsiTheme="minorHAnsi" w:cstheme="minorHAnsi"/>
                <w:b/>
                <w:sz w:val="24"/>
                <w:szCs w:val="24"/>
              </w:rPr>
              <w:t>22 giugno 2022</w:t>
            </w:r>
            <w:r w:rsidRPr="00BA3D28">
              <w:rPr>
                <w:rFonts w:asciiTheme="minorHAnsi" w:eastAsia="Times New Roman" w:hAnsiTheme="minorHAnsi" w:cstheme="minorHAnsi"/>
                <w:b/>
                <w:sz w:val="24"/>
                <w:szCs w:val="24"/>
              </w:rPr>
              <w:t xml:space="preserve"> (CAM</w:t>
            </w:r>
            <w:r>
              <w:rPr>
                <w:rFonts w:asciiTheme="minorHAnsi" w:eastAsia="Times New Roman" w:hAnsiTheme="minorHAnsi" w:cstheme="minorHAnsi"/>
                <w:b/>
                <w:sz w:val="24"/>
                <w:szCs w:val="24"/>
              </w:rPr>
              <w:t xml:space="preserve"> EDILIZIA</w:t>
            </w:r>
            <w:r w:rsidRPr="00BA3D28">
              <w:rPr>
                <w:rFonts w:asciiTheme="minorHAnsi" w:eastAsia="Times New Roman" w:hAnsiTheme="minorHAnsi" w:cstheme="minorHAnsi"/>
                <w:b/>
                <w:sz w:val="24"/>
                <w:szCs w:val="24"/>
              </w:rPr>
              <w:t>)</w:t>
            </w:r>
          </w:p>
          <w:p w14:paraId="49AE030D" w14:textId="77777777" w:rsidR="005F46E8" w:rsidRPr="00BA3D28" w:rsidRDefault="005F46E8" w:rsidP="00BD1359">
            <w:pPr>
              <w:pBdr>
                <w:top w:val="nil"/>
                <w:left w:val="nil"/>
                <w:bottom w:val="nil"/>
                <w:right w:val="nil"/>
                <w:between w:val="nil"/>
              </w:pBdr>
              <w:spacing w:before="11" w:line="276" w:lineRule="auto"/>
              <w:ind w:left="69"/>
              <w:jc w:val="both"/>
              <w:rPr>
                <w:rFonts w:asciiTheme="minorHAnsi" w:eastAsia="Times New Roman" w:hAnsiTheme="minorHAnsi" w:cstheme="minorHAnsi"/>
                <w:i/>
                <w:sz w:val="24"/>
                <w:szCs w:val="24"/>
              </w:rPr>
            </w:pPr>
            <w:r w:rsidRPr="00BA3D28">
              <w:rPr>
                <w:rFonts w:asciiTheme="minorHAnsi" w:eastAsia="Times New Roman" w:hAnsiTheme="minorHAnsi" w:cstheme="minorHAnsi"/>
                <w:sz w:val="24"/>
                <w:szCs w:val="24"/>
              </w:rPr>
              <w:t xml:space="preserve">“Criteri ambientali minimi per l’affidamento di servizi di progettazione e lavori per la nuova costruzione, ristrutturazione e manutenzione di edifici pubblici” </w:t>
            </w:r>
          </w:p>
        </w:tc>
      </w:tr>
      <w:tr w:rsidR="005F46E8" w:rsidRPr="00BA3D28" w14:paraId="1793E9FB" w14:textId="77777777" w:rsidTr="004A7E59">
        <w:trPr>
          <w:trHeight w:val="430"/>
          <w:jc w:val="center"/>
        </w:trPr>
        <w:tc>
          <w:tcPr>
            <w:tcW w:w="542" w:type="dxa"/>
            <w:shd w:val="clear" w:color="auto" w:fill="D9D9D9"/>
          </w:tcPr>
          <w:p w14:paraId="30E9B9C1" w14:textId="77777777" w:rsidR="005F46E8" w:rsidRPr="00BA3D28" w:rsidRDefault="005F46E8" w:rsidP="00BD1359">
            <w:pPr>
              <w:pBdr>
                <w:top w:val="nil"/>
                <w:left w:val="nil"/>
                <w:bottom w:val="nil"/>
                <w:right w:val="nil"/>
                <w:between w:val="nil"/>
              </w:pBdr>
              <w:spacing w:before="28" w:line="276" w:lineRule="auto"/>
              <w:jc w:val="right"/>
              <w:rPr>
                <w:rFonts w:asciiTheme="minorHAnsi" w:eastAsia="Times New Roman" w:hAnsiTheme="minorHAnsi" w:cstheme="minorHAnsi"/>
                <w:i/>
                <w:sz w:val="24"/>
                <w:szCs w:val="24"/>
              </w:rPr>
            </w:pPr>
            <w:r w:rsidRPr="00BA3D28">
              <w:rPr>
                <w:rFonts w:asciiTheme="minorHAnsi" w:eastAsia="Times New Roman" w:hAnsiTheme="minorHAnsi" w:cstheme="minorHAnsi"/>
                <w:i/>
                <w:sz w:val="24"/>
                <w:szCs w:val="24"/>
              </w:rPr>
              <w:t>n.</w:t>
            </w:r>
          </w:p>
        </w:tc>
        <w:tc>
          <w:tcPr>
            <w:tcW w:w="6931" w:type="dxa"/>
            <w:shd w:val="clear" w:color="auto" w:fill="D9D9D9"/>
          </w:tcPr>
          <w:p w14:paraId="1187E035" w14:textId="77777777" w:rsidR="005F46E8" w:rsidRPr="00BA3D28" w:rsidRDefault="005F46E8" w:rsidP="00BD1359">
            <w:pPr>
              <w:pBdr>
                <w:top w:val="nil"/>
                <w:left w:val="nil"/>
                <w:bottom w:val="nil"/>
                <w:right w:val="nil"/>
                <w:between w:val="nil"/>
              </w:pBdr>
              <w:spacing w:before="28" w:line="276" w:lineRule="auto"/>
              <w:ind w:left="2449"/>
              <w:jc w:val="center"/>
              <w:rPr>
                <w:rFonts w:asciiTheme="minorHAnsi" w:eastAsia="Times New Roman" w:hAnsiTheme="minorHAnsi" w:cstheme="minorHAnsi"/>
                <w:i/>
                <w:sz w:val="24"/>
                <w:szCs w:val="24"/>
              </w:rPr>
            </w:pPr>
            <w:r w:rsidRPr="00BA3D28">
              <w:rPr>
                <w:rFonts w:asciiTheme="minorHAnsi" w:eastAsia="Times New Roman" w:hAnsiTheme="minorHAnsi" w:cstheme="minorHAnsi"/>
                <w:i/>
                <w:sz w:val="24"/>
                <w:szCs w:val="24"/>
              </w:rPr>
              <w:t>criteri di valutazione</w:t>
            </w:r>
          </w:p>
        </w:tc>
        <w:tc>
          <w:tcPr>
            <w:tcW w:w="1077" w:type="dxa"/>
            <w:shd w:val="clear" w:color="auto" w:fill="D9D9D9"/>
          </w:tcPr>
          <w:p w14:paraId="24B1027C" w14:textId="77777777" w:rsidR="005F46E8" w:rsidRPr="00BA3D28" w:rsidRDefault="005F46E8" w:rsidP="00BD1359">
            <w:pPr>
              <w:pBdr>
                <w:top w:val="nil"/>
                <w:left w:val="nil"/>
                <w:bottom w:val="nil"/>
                <w:right w:val="nil"/>
                <w:between w:val="nil"/>
              </w:pBdr>
              <w:spacing w:before="28" w:line="276" w:lineRule="auto"/>
              <w:ind w:left="159"/>
              <w:jc w:val="center"/>
              <w:rPr>
                <w:rFonts w:asciiTheme="minorHAnsi" w:eastAsia="Times New Roman" w:hAnsiTheme="minorHAnsi" w:cstheme="minorHAnsi"/>
                <w:i/>
                <w:sz w:val="24"/>
                <w:szCs w:val="24"/>
              </w:rPr>
            </w:pPr>
            <w:r w:rsidRPr="00BA3D28">
              <w:rPr>
                <w:rFonts w:asciiTheme="minorHAnsi" w:eastAsia="Times New Roman" w:hAnsiTheme="minorHAnsi" w:cstheme="minorHAnsi"/>
                <w:i/>
                <w:sz w:val="24"/>
                <w:szCs w:val="24"/>
              </w:rPr>
              <w:t>punti D</w:t>
            </w:r>
          </w:p>
        </w:tc>
        <w:tc>
          <w:tcPr>
            <w:tcW w:w="1077" w:type="dxa"/>
            <w:shd w:val="clear" w:color="auto" w:fill="D9D9D9"/>
          </w:tcPr>
          <w:p w14:paraId="35B90F7C" w14:textId="77777777" w:rsidR="005F46E8" w:rsidRPr="00BA3D28" w:rsidRDefault="005F46E8" w:rsidP="00BD1359">
            <w:pPr>
              <w:pBdr>
                <w:top w:val="nil"/>
                <w:left w:val="nil"/>
                <w:bottom w:val="nil"/>
                <w:right w:val="nil"/>
                <w:between w:val="nil"/>
              </w:pBdr>
              <w:spacing w:before="28" w:line="276" w:lineRule="auto"/>
              <w:ind w:left="107"/>
              <w:jc w:val="center"/>
              <w:rPr>
                <w:rFonts w:asciiTheme="minorHAnsi" w:eastAsia="Times New Roman" w:hAnsiTheme="minorHAnsi" w:cstheme="minorHAnsi"/>
                <w:i/>
                <w:sz w:val="24"/>
                <w:szCs w:val="24"/>
              </w:rPr>
            </w:pPr>
            <w:r w:rsidRPr="00BA3D28">
              <w:rPr>
                <w:rFonts w:asciiTheme="minorHAnsi" w:eastAsia="Times New Roman" w:hAnsiTheme="minorHAnsi" w:cstheme="minorHAnsi"/>
                <w:i/>
                <w:sz w:val="24"/>
                <w:szCs w:val="24"/>
              </w:rPr>
              <w:t>punti T</w:t>
            </w:r>
          </w:p>
        </w:tc>
      </w:tr>
      <w:tr w:rsidR="005F46E8" w:rsidRPr="00BA3D28" w14:paraId="0195020F" w14:textId="77777777" w:rsidTr="004A7E59">
        <w:trPr>
          <w:trHeight w:val="665"/>
          <w:jc w:val="center"/>
        </w:trPr>
        <w:tc>
          <w:tcPr>
            <w:tcW w:w="542" w:type="dxa"/>
          </w:tcPr>
          <w:p w14:paraId="2084052C" w14:textId="77777777" w:rsidR="005F46E8" w:rsidRPr="00BA3D28" w:rsidRDefault="005F46E8" w:rsidP="00BD1359">
            <w:pPr>
              <w:pBdr>
                <w:top w:val="nil"/>
                <w:left w:val="nil"/>
                <w:bottom w:val="nil"/>
                <w:right w:val="nil"/>
                <w:between w:val="nil"/>
              </w:pBdr>
              <w:spacing w:before="187" w:line="276" w:lineRule="auto"/>
              <w:ind w:left="69"/>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p>
        </w:tc>
        <w:tc>
          <w:tcPr>
            <w:tcW w:w="6931" w:type="dxa"/>
          </w:tcPr>
          <w:p w14:paraId="03C72B4D" w14:textId="77777777" w:rsidR="005F46E8" w:rsidRPr="00BA3D28" w:rsidRDefault="005F46E8" w:rsidP="00BD1359">
            <w:pPr>
              <w:pBdr>
                <w:top w:val="nil"/>
                <w:left w:val="nil"/>
                <w:bottom w:val="nil"/>
                <w:right w:val="nil"/>
                <w:between w:val="nil"/>
              </w:pBdr>
              <w:spacing w:before="187" w:line="276" w:lineRule="auto"/>
              <w:ind w:left="8"/>
              <w:jc w:val="center"/>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p>
        </w:tc>
        <w:tc>
          <w:tcPr>
            <w:tcW w:w="1077" w:type="dxa"/>
          </w:tcPr>
          <w:p w14:paraId="0AD4D2F0" w14:textId="77777777" w:rsidR="005F46E8" w:rsidRPr="00BA3D28" w:rsidRDefault="005F46E8" w:rsidP="00BD1359">
            <w:pPr>
              <w:pBdr>
                <w:top w:val="nil"/>
                <w:left w:val="nil"/>
                <w:bottom w:val="nil"/>
                <w:right w:val="nil"/>
                <w:between w:val="nil"/>
              </w:pBdr>
              <w:spacing w:before="187" w:line="276" w:lineRule="auto"/>
              <w:ind w:left="11"/>
              <w:jc w:val="center"/>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p>
        </w:tc>
        <w:tc>
          <w:tcPr>
            <w:tcW w:w="1077" w:type="dxa"/>
          </w:tcPr>
          <w:p w14:paraId="21ACE9E0" w14:textId="77777777" w:rsidR="005F46E8" w:rsidRPr="00BA3D28" w:rsidRDefault="005F46E8" w:rsidP="00BD1359">
            <w:pPr>
              <w:pBdr>
                <w:top w:val="nil"/>
                <w:left w:val="nil"/>
                <w:bottom w:val="nil"/>
                <w:right w:val="nil"/>
                <w:between w:val="nil"/>
              </w:pBdr>
              <w:spacing w:before="187" w:line="276" w:lineRule="auto"/>
              <w:ind w:left="12"/>
              <w:jc w:val="center"/>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p>
        </w:tc>
      </w:tr>
      <w:tr w:rsidR="005F46E8" w:rsidRPr="00BA3D28" w14:paraId="3D3C3FE1" w14:textId="77777777" w:rsidTr="004A7E59">
        <w:trPr>
          <w:trHeight w:val="664"/>
          <w:jc w:val="center"/>
        </w:trPr>
        <w:tc>
          <w:tcPr>
            <w:tcW w:w="542" w:type="dxa"/>
          </w:tcPr>
          <w:p w14:paraId="4C7C9818" w14:textId="77777777" w:rsidR="005F46E8" w:rsidRPr="00BA3D28" w:rsidRDefault="005F46E8" w:rsidP="00BD1359">
            <w:pPr>
              <w:pBdr>
                <w:top w:val="nil"/>
                <w:left w:val="nil"/>
                <w:bottom w:val="nil"/>
                <w:right w:val="nil"/>
                <w:between w:val="nil"/>
              </w:pBdr>
              <w:spacing w:before="185" w:line="276" w:lineRule="auto"/>
              <w:ind w:left="69"/>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p>
        </w:tc>
        <w:tc>
          <w:tcPr>
            <w:tcW w:w="6931" w:type="dxa"/>
          </w:tcPr>
          <w:p w14:paraId="62E3B5B9" w14:textId="77777777" w:rsidR="005F46E8" w:rsidRPr="00BA3D28" w:rsidRDefault="005F46E8" w:rsidP="00BD1359">
            <w:pPr>
              <w:pBdr>
                <w:top w:val="nil"/>
                <w:left w:val="nil"/>
                <w:bottom w:val="nil"/>
                <w:right w:val="nil"/>
                <w:between w:val="nil"/>
              </w:pBdr>
              <w:spacing w:before="185" w:line="276" w:lineRule="auto"/>
              <w:ind w:left="8"/>
              <w:jc w:val="center"/>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p>
        </w:tc>
        <w:tc>
          <w:tcPr>
            <w:tcW w:w="1077" w:type="dxa"/>
          </w:tcPr>
          <w:p w14:paraId="54BF59D1" w14:textId="77777777" w:rsidR="005F46E8" w:rsidRPr="00BA3D28" w:rsidRDefault="005F46E8" w:rsidP="00BD1359">
            <w:pPr>
              <w:pBdr>
                <w:top w:val="nil"/>
                <w:left w:val="nil"/>
                <w:bottom w:val="nil"/>
                <w:right w:val="nil"/>
                <w:between w:val="nil"/>
              </w:pBdr>
              <w:spacing w:before="185" w:line="276" w:lineRule="auto"/>
              <w:ind w:left="11"/>
              <w:jc w:val="center"/>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p>
        </w:tc>
        <w:tc>
          <w:tcPr>
            <w:tcW w:w="1077" w:type="dxa"/>
          </w:tcPr>
          <w:p w14:paraId="4BE57813" w14:textId="77777777" w:rsidR="005F46E8" w:rsidRPr="00BA3D28" w:rsidRDefault="005F46E8" w:rsidP="00BD1359">
            <w:pPr>
              <w:pBdr>
                <w:top w:val="nil"/>
                <w:left w:val="nil"/>
                <w:bottom w:val="nil"/>
                <w:right w:val="nil"/>
                <w:between w:val="nil"/>
              </w:pBdr>
              <w:spacing w:before="185" w:line="276" w:lineRule="auto"/>
              <w:ind w:left="12"/>
              <w:jc w:val="center"/>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p>
        </w:tc>
      </w:tr>
      <w:tr w:rsidR="005F46E8" w:rsidRPr="00BA3D28" w14:paraId="2645C963" w14:textId="77777777" w:rsidTr="004A7E59">
        <w:trPr>
          <w:trHeight w:val="403"/>
          <w:jc w:val="center"/>
        </w:trPr>
        <w:tc>
          <w:tcPr>
            <w:tcW w:w="7473" w:type="dxa"/>
            <w:gridSpan w:val="2"/>
            <w:shd w:val="clear" w:color="auto" w:fill="BFBFBF"/>
          </w:tcPr>
          <w:p w14:paraId="4B6B5F72" w14:textId="77777777" w:rsidR="005F46E8" w:rsidRPr="00BA3D28" w:rsidRDefault="005F46E8" w:rsidP="00BD1359">
            <w:pPr>
              <w:pBdr>
                <w:top w:val="nil"/>
                <w:left w:val="nil"/>
                <w:bottom w:val="nil"/>
                <w:right w:val="nil"/>
                <w:between w:val="nil"/>
              </w:pBdr>
              <w:spacing w:before="55" w:line="276" w:lineRule="auto"/>
              <w:jc w:val="right"/>
              <w:rPr>
                <w:rFonts w:asciiTheme="minorHAnsi" w:eastAsia="Times New Roman" w:hAnsiTheme="minorHAnsi" w:cstheme="minorHAnsi"/>
                <w:b/>
                <w:sz w:val="24"/>
                <w:szCs w:val="24"/>
              </w:rPr>
            </w:pPr>
            <w:r w:rsidRPr="00BA3D28">
              <w:rPr>
                <w:rFonts w:asciiTheme="minorHAnsi" w:eastAsia="Times New Roman" w:hAnsiTheme="minorHAnsi" w:cstheme="minorHAnsi"/>
                <w:b/>
                <w:sz w:val="24"/>
                <w:szCs w:val="24"/>
              </w:rPr>
              <w:t>TOTALE PUNTI</w:t>
            </w:r>
          </w:p>
        </w:tc>
        <w:tc>
          <w:tcPr>
            <w:tcW w:w="1077" w:type="dxa"/>
            <w:shd w:val="clear" w:color="auto" w:fill="BFBFBF"/>
          </w:tcPr>
          <w:p w14:paraId="713987E8" w14:textId="77777777" w:rsidR="005F46E8" w:rsidRPr="00BA3D28" w:rsidRDefault="005F46E8" w:rsidP="00BD1359">
            <w:pPr>
              <w:pBdr>
                <w:top w:val="nil"/>
                <w:left w:val="nil"/>
                <w:bottom w:val="nil"/>
                <w:right w:val="nil"/>
                <w:between w:val="nil"/>
              </w:pBdr>
              <w:spacing w:before="55" w:line="276" w:lineRule="auto"/>
              <w:ind w:left="11"/>
              <w:jc w:val="center"/>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p>
        </w:tc>
        <w:tc>
          <w:tcPr>
            <w:tcW w:w="1077" w:type="dxa"/>
            <w:shd w:val="clear" w:color="auto" w:fill="BFBFBF"/>
          </w:tcPr>
          <w:p w14:paraId="471FB3E9" w14:textId="77777777" w:rsidR="005F46E8" w:rsidRPr="00BA3D28" w:rsidRDefault="005F46E8" w:rsidP="00BD1359">
            <w:pPr>
              <w:pBdr>
                <w:top w:val="nil"/>
                <w:left w:val="nil"/>
                <w:bottom w:val="nil"/>
                <w:right w:val="nil"/>
                <w:between w:val="nil"/>
              </w:pBdr>
              <w:spacing w:before="55" w:line="276" w:lineRule="auto"/>
              <w:ind w:left="12"/>
              <w:jc w:val="center"/>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p>
        </w:tc>
      </w:tr>
    </w:tbl>
    <w:p w14:paraId="5E4BA957" w14:textId="77777777" w:rsidR="005F46E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7AC484C" w14:textId="77777777" w:rsidR="005F46E8" w:rsidRDefault="005F46E8" w:rsidP="00BD1359">
      <w:pPr>
        <w:pBdr>
          <w:top w:val="single" w:sz="4" w:space="1" w:color="auto"/>
          <w:left w:val="single" w:sz="4" w:space="4" w:color="auto"/>
          <w:bottom w:val="single" w:sz="4" w:space="1" w:color="auto"/>
          <w:right w:val="single" w:sz="4" w:space="4" w:color="auto"/>
        </w:pBdr>
        <w:spacing w:before="60" w:after="60" w:line="276" w:lineRule="auto"/>
        <w:jc w:val="both"/>
        <w:rPr>
          <w:rFonts w:ascii="Titillium" w:hAnsi="Titillium" w:cs="Calibri"/>
          <w:i/>
          <w:iCs/>
          <w:sz w:val="18"/>
          <w:szCs w:val="18"/>
        </w:rPr>
      </w:pPr>
      <w:r w:rsidRPr="00F16718">
        <w:rPr>
          <w:rFonts w:ascii="Titillium" w:hAnsi="Titillium" w:cs="Arial"/>
          <w:i/>
          <w:sz w:val="18"/>
          <w:szCs w:val="18"/>
        </w:rPr>
        <w:t>N</w:t>
      </w:r>
      <w:r w:rsidRPr="001B00A0">
        <w:rPr>
          <w:rFonts w:ascii="Titillium" w:hAnsi="Titillium" w:cs="Calibri"/>
          <w:i/>
          <w:iCs/>
          <w:sz w:val="18"/>
          <w:szCs w:val="18"/>
        </w:rPr>
        <w:t xml:space="preserve">.B: </w:t>
      </w:r>
      <w:r>
        <w:rPr>
          <w:rFonts w:ascii="Titillium" w:hAnsi="Titillium" w:cs="Calibri"/>
          <w:i/>
          <w:iCs/>
          <w:sz w:val="18"/>
          <w:szCs w:val="18"/>
        </w:rPr>
        <w:t>nell’individuare gli elementi di valutazione dell’offerta tecnica la stazione appaltante:</w:t>
      </w:r>
    </w:p>
    <w:p w14:paraId="475E4F58" w14:textId="77777777" w:rsidR="005F46E8" w:rsidRPr="00763512" w:rsidRDefault="005F46E8" w:rsidP="00BD1359">
      <w:pPr>
        <w:pBdr>
          <w:top w:val="single" w:sz="4" w:space="1" w:color="auto"/>
          <w:left w:val="single" w:sz="4" w:space="4" w:color="auto"/>
          <w:bottom w:val="single" w:sz="4" w:space="1" w:color="auto"/>
          <w:right w:val="single" w:sz="4" w:space="4" w:color="auto"/>
        </w:pBdr>
        <w:spacing w:before="60" w:after="60" w:line="276" w:lineRule="auto"/>
        <w:jc w:val="both"/>
        <w:rPr>
          <w:rFonts w:ascii="Titillium" w:hAnsi="Titillium" w:cs="Calibri"/>
          <w:i/>
          <w:iCs/>
          <w:sz w:val="18"/>
          <w:szCs w:val="18"/>
        </w:rPr>
      </w:pPr>
      <w:r>
        <w:rPr>
          <w:rFonts w:ascii="Titillium" w:hAnsi="Titillium" w:cs="Calibri"/>
          <w:i/>
          <w:iCs/>
          <w:sz w:val="18"/>
          <w:szCs w:val="18"/>
        </w:rPr>
        <w:t xml:space="preserve"> - in caso</w:t>
      </w:r>
      <w:r w:rsidRPr="00763512">
        <w:rPr>
          <w:rFonts w:ascii="Titillium" w:hAnsi="Titillium" w:cs="Calibri"/>
          <w:i/>
          <w:iCs/>
          <w:sz w:val="18"/>
          <w:szCs w:val="18"/>
        </w:rPr>
        <w:t xml:space="preserve"> di servizi e forniture per i quali è vigente un decreto sui CAM, </w:t>
      </w:r>
      <w:r>
        <w:rPr>
          <w:rFonts w:ascii="Titillium" w:hAnsi="Titillium" w:cs="Calibri"/>
          <w:i/>
          <w:iCs/>
          <w:sz w:val="18"/>
          <w:szCs w:val="18"/>
        </w:rPr>
        <w:t>tiene</w:t>
      </w:r>
      <w:r w:rsidRPr="00763512">
        <w:rPr>
          <w:rFonts w:ascii="Titillium" w:hAnsi="Titillium" w:cs="Calibri"/>
          <w:i/>
          <w:iCs/>
          <w:sz w:val="18"/>
          <w:szCs w:val="18"/>
        </w:rPr>
        <w:t xml:space="preserve"> conto dei criteri premianti </w:t>
      </w:r>
      <w:r>
        <w:rPr>
          <w:rFonts w:ascii="Titillium" w:hAnsi="Titillium" w:cs="Calibri"/>
          <w:i/>
          <w:iCs/>
          <w:sz w:val="18"/>
          <w:szCs w:val="18"/>
        </w:rPr>
        <w:t xml:space="preserve">ivi </w:t>
      </w:r>
      <w:r w:rsidRPr="00763512">
        <w:rPr>
          <w:rFonts w:ascii="Titillium" w:hAnsi="Titillium" w:cs="Calibri"/>
          <w:i/>
          <w:iCs/>
          <w:sz w:val="18"/>
          <w:szCs w:val="18"/>
        </w:rPr>
        <w:t>indicati</w:t>
      </w:r>
      <w:r>
        <w:rPr>
          <w:rFonts w:ascii="Titillium" w:hAnsi="Titillium" w:cs="Calibri"/>
          <w:i/>
          <w:iCs/>
          <w:sz w:val="18"/>
          <w:szCs w:val="18"/>
        </w:rPr>
        <w:t>;</w:t>
      </w:r>
    </w:p>
    <w:p w14:paraId="0816C49B" w14:textId="77777777" w:rsidR="005F46E8" w:rsidRDefault="005F46E8" w:rsidP="00BD1359">
      <w:pPr>
        <w:pBdr>
          <w:top w:val="single" w:sz="4" w:space="1" w:color="auto"/>
          <w:left w:val="single" w:sz="4" w:space="4" w:color="auto"/>
          <w:bottom w:val="single" w:sz="4" w:space="1" w:color="auto"/>
          <w:right w:val="single" w:sz="4" w:space="4" w:color="auto"/>
        </w:pBdr>
        <w:spacing w:before="60" w:after="60" w:line="276" w:lineRule="auto"/>
        <w:jc w:val="both"/>
        <w:rPr>
          <w:rFonts w:ascii="Titillium" w:hAnsi="Titillium" w:cs="Calibri"/>
          <w:i/>
          <w:iCs/>
          <w:sz w:val="18"/>
          <w:szCs w:val="18"/>
        </w:rPr>
      </w:pPr>
      <w:r>
        <w:rPr>
          <w:rFonts w:ascii="Titillium" w:hAnsi="Titillium" w:cs="Calibri"/>
          <w:i/>
          <w:iCs/>
          <w:sz w:val="18"/>
          <w:szCs w:val="18"/>
        </w:rPr>
        <w:t xml:space="preserve"> - </w:t>
      </w:r>
      <w:r w:rsidRPr="00763512">
        <w:rPr>
          <w:rFonts w:ascii="Titillium" w:hAnsi="Titillium" w:cs="Calibri"/>
          <w:i/>
          <w:iCs/>
          <w:sz w:val="18"/>
          <w:szCs w:val="18"/>
        </w:rPr>
        <w:t>può valorizzare</w:t>
      </w:r>
      <w:r>
        <w:rPr>
          <w:rFonts w:ascii="Titillium" w:hAnsi="Titillium" w:cs="Calibri"/>
          <w:i/>
          <w:iCs/>
          <w:sz w:val="18"/>
          <w:szCs w:val="18"/>
        </w:rPr>
        <w:t xml:space="preserve"> </w:t>
      </w:r>
      <w:r w:rsidRPr="00763512">
        <w:rPr>
          <w:rFonts w:ascii="Titillium" w:hAnsi="Titillium" w:cs="Calibri"/>
          <w:i/>
          <w:iCs/>
          <w:sz w:val="18"/>
          <w:szCs w:val="18"/>
        </w:rPr>
        <w:t>il possesso di un'etichettatura specifica nel rispetto delle condizioni indicate all’allegato II.5</w:t>
      </w:r>
      <w:r>
        <w:rPr>
          <w:rFonts w:ascii="Titillium" w:hAnsi="Titillium" w:cs="Calibri"/>
          <w:i/>
          <w:iCs/>
          <w:sz w:val="18"/>
          <w:szCs w:val="18"/>
        </w:rPr>
        <w:t xml:space="preserve"> qualora </w:t>
      </w:r>
      <w:r w:rsidRPr="00763512">
        <w:rPr>
          <w:rFonts w:ascii="Titillium" w:hAnsi="Titillium" w:cs="Calibri"/>
          <w:i/>
          <w:iCs/>
          <w:sz w:val="18"/>
          <w:szCs w:val="18"/>
        </w:rPr>
        <w:t>intenda acquistare forniture o servizi con specifiche caratteristiche ambientali, sociali o di altro tipo</w:t>
      </w:r>
      <w:r>
        <w:rPr>
          <w:rFonts w:ascii="Titillium" w:hAnsi="Titillium" w:cs="Calibri"/>
          <w:i/>
          <w:iCs/>
          <w:sz w:val="18"/>
          <w:szCs w:val="18"/>
        </w:rPr>
        <w:t>;</w:t>
      </w:r>
    </w:p>
    <w:p w14:paraId="6C81156B" w14:textId="77777777" w:rsidR="005F46E8" w:rsidRDefault="005F46E8" w:rsidP="00BD1359">
      <w:pPr>
        <w:pBdr>
          <w:top w:val="single" w:sz="4" w:space="1" w:color="auto"/>
          <w:left w:val="single" w:sz="4" w:space="4" w:color="auto"/>
          <w:bottom w:val="single" w:sz="4" w:space="1" w:color="auto"/>
          <w:right w:val="single" w:sz="4" w:space="4" w:color="auto"/>
        </w:pBdr>
        <w:spacing w:before="60" w:after="60" w:line="276" w:lineRule="auto"/>
        <w:jc w:val="both"/>
        <w:rPr>
          <w:rFonts w:ascii="Titillium" w:hAnsi="Titillium" w:cs="Calibri"/>
          <w:i/>
          <w:iCs/>
          <w:sz w:val="18"/>
          <w:szCs w:val="18"/>
        </w:rPr>
      </w:pPr>
      <w:r>
        <w:rPr>
          <w:rFonts w:ascii="Titillium" w:hAnsi="Titillium" w:cs="Calibri"/>
          <w:i/>
          <w:iCs/>
          <w:sz w:val="18"/>
          <w:szCs w:val="18"/>
        </w:rPr>
        <w:t xml:space="preserve"> - individua il maggior punteggio da attribuire alle imprese che attestano il possesso della certificazione della parità di genere di cui all’articolo 46-bis del decreto legislativo n. 196/2006 (Codice delle pari opportunità). Si richiamano le indicazioni fornite dall’ANAC con il Comunicato del Presidente del 30/11/2022 </w:t>
      </w:r>
    </w:p>
    <w:p w14:paraId="2F1FA308" w14:textId="2AC283B0" w:rsidR="005F46E8" w:rsidRPr="001B00A0" w:rsidRDefault="005F46E8" w:rsidP="00BD1359">
      <w:pPr>
        <w:pBdr>
          <w:top w:val="single" w:sz="4" w:space="1" w:color="auto"/>
          <w:left w:val="single" w:sz="4" w:space="4" w:color="auto"/>
          <w:bottom w:val="single" w:sz="4" w:space="1" w:color="auto"/>
          <w:right w:val="single" w:sz="4" w:space="4" w:color="auto"/>
        </w:pBdr>
        <w:spacing w:before="60" w:after="60" w:line="276" w:lineRule="auto"/>
        <w:jc w:val="both"/>
        <w:rPr>
          <w:rFonts w:ascii="Titillium" w:hAnsi="Titillium" w:cs="Calibri"/>
          <w:i/>
          <w:iCs/>
          <w:sz w:val="18"/>
          <w:szCs w:val="18"/>
        </w:rPr>
      </w:pPr>
      <w:r>
        <w:rPr>
          <w:rFonts w:ascii="Titillium" w:hAnsi="Titillium" w:cs="Calibri"/>
          <w:i/>
          <w:iCs/>
          <w:sz w:val="18"/>
          <w:szCs w:val="18"/>
        </w:rPr>
        <w:t xml:space="preserve">- </w:t>
      </w:r>
      <w:r w:rsidRPr="00DD747D">
        <w:rPr>
          <w:rFonts w:ascii="Titillium" w:hAnsi="Titillium" w:cs="Calibri"/>
          <w:b/>
          <w:i/>
          <w:iCs/>
          <w:sz w:val="18"/>
          <w:szCs w:val="18"/>
        </w:rPr>
        <w:t>Facoltativo</w:t>
      </w:r>
      <w:r>
        <w:rPr>
          <w:rFonts w:ascii="Titillium" w:hAnsi="Titillium" w:cs="Calibri"/>
          <w:i/>
          <w:iCs/>
          <w:sz w:val="18"/>
          <w:szCs w:val="18"/>
        </w:rPr>
        <w:t xml:space="preserve"> </w:t>
      </w:r>
      <w:r w:rsidRPr="001B00A0">
        <w:rPr>
          <w:rFonts w:ascii="Titillium" w:hAnsi="Titillium" w:cs="Calibri"/>
          <w:i/>
          <w:iCs/>
          <w:sz w:val="18"/>
          <w:szCs w:val="18"/>
        </w:rPr>
        <w:t>in virtù della deroga prevista dell’ordinanza commissariale n. 140/2023</w:t>
      </w:r>
      <w:r>
        <w:rPr>
          <w:rFonts w:ascii="Titillium" w:hAnsi="Titillium" w:cs="Calibri"/>
          <w:i/>
          <w:iCs/>
          <w:sz w:val="18"/>
          <w:szCs w:val="18"/>
        </w:rPr>
        <w:t xml:space="preserve">: </w:t>
      </w:r>
      <w:r w:rsidR="00117522">
        <w:rPr>
          <w:rFonts w:ascii="Titillium" w:hAnsi="Titillium" w:cs="Calibri"/>
          <w:i/>
          <w:iCs/>
          <w:sz w:val="18"/>
          <w:szCs w:val="18"/>
        </w:rPr>
        <w:t>p</w:t>
      </w:r>
      <w:r w:rsidRPr="001B00A0">
        <w:rPr>
          <w:rFonts w:ascii="Titillium" w:hAnsi="Titillium" w:cs="Calibri"/>
          <w:i/>
          <w:iCs/>
          <w:sz w:val="18"/>
          <w:szCs w:val="18"/>
        </w:rPr>
        <w:t>er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le stazioni appaltanti, inseriscono nei bandi di gara, negli avvisi e negli inviti, le clausole che introducono come ulteriori requisiti premiali dell’offerta (di cui all’articolo 47, commi 4 e 5, decreto legge 77/2021) criteri orientati a promuovere l'imprenditoria giovanile, l’inclusione lavorativa delle persone disabili, la parità di genere e l'assunzione di giovani, con età inferiore a trentasei anni, e di donne. A tal fine, le stazioni appaltanti prevedono l’attribuzione di punteggi aggiuntivi in favore del concorrente che si trovi in una o più delle situazioni di cui alle linee guida adottate dal Dipartimento per le pari opportunità ai sensi dell’articolo 47, comma 5, decreto legge 77/21, per i contratti PNRR e dell’allegato II.3 per le procedure riservate ex articolo 61 del codice.</w:t>
      </w:r>
    </w:p>
    <w:p w14:paraId="6BBE38CE" w14:textId="77777777" w:rsidR="005F46E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B961AF0" w14:textId="77777777" w:rsidR="005F46E8" w:rsidRPr="00BA3D2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Facoltativo</w:t>
      </w:r>
      <w:r w:rsidRPr="00BA3D28">
        <w:rPr>
          <w:rFonts w:asciiTheme="minorHAnsi" w:eastAsia="Times New Roman" w:hAnsiTheme="minorHAnsi" w:cstheme="minorHAnsi"/>
          <w:sz w:val="24"/>
          <w:szCs w:val="24"/>
        </w:rPr>
        <w:t>: soglia di sbarramento al punteggio tecnico] Il concorrente è escluso dalla gara nel caso in cui consegua un punteggio inferiore alla soglia minima di sbarramento pari a ... [</w:t>
      </w:r>
      <w:r w:rsidRPr="00BA3D28">
        <w:rPr>
          <w:rFonts w:asciiTheme="minorHAnsi" w:eastAsia="Times New Roman" w:hAnsiTheme="minorHAnsi" w:cstheme="minorHAnsi"/>
          <w:i/>
          <w:sz w:val="24"/>
          <w:szCs w:val="24"/>
        </w:rPr>
        <w:t>indicare la/le soglie di punteggio</w:t>
      </w:r>
      <w:r w:rsidRPr="00BA3D28">
        <w:rPr>
          <w:rFonts w:asciiTheme="minorHAnsi" w:eastAsia="Times New Roman" w:hAnsiTheme="minorHAnsi" w:cstheme="minorHAnsi"/>
          <w:sz w:val="24"/>
          <w:szCs w:val="24"/>
        </w:rPr>
        <w:t>] per … [</w:t>
      </w:r>
      <w:r w:rsidRPr="00BA3D28">
        <w:rPr>
          <w:rFonts w:asciiTheme="minorHAnsi" w:eastAsia="Times New Roman" w:hAnsiTheme="minorHAnsi" w:cstheme="minorHAnsi"/>
          <w:i/>
          <w:sz w:val="24"/>
          <w:szCs w:val="24"/>
        </w:rPr>
        <w:t>indicare “il punteggio tecnico complessivo” oppure indicare “i seguenti criteri: …”, specificando i criteri su cui applicare lo sbarramento</w:t>
      </w:r>
      <w:r w:rsidRPr="00BA3D28">
        <w:rPr>
          <w:rFonts w:asciiTheme="minorHAnsi" w:eastAsia="Times New Roman" w:hAnsiTheme="minorHAnsi" w:cstheme="minorHAnsi"/>
          <w:sz w:val="24"/>
          <w:szCs w:val="24"/>
        </w:rPr>
        <w:t>].</w:t>
      </w:r>
    </w:p>
    <w:p w14:paraId="48945CCD" w14:textId="77777777" w:rsidR="005F46E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EB908CC" w14:textId="77777777" w:rsidR="005F46E8" w:rsidRPr="00BA3D2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Nel caso in cui sia prevista una riparametrazione dei punteggi tecnici</w:t>
      </w:r>
      <w:r w:rsidRPr="00BA3D28">
        <w:rPr>
          <w:rFonts w:asciiTheme="minorHAnsi" w:eastAsia="Times New Roman" w:hAnsiTheme="minorHAnsi" w:cstheme="minorHAnsi"/>
          <w:sz w:val="24"/>
          <w:szCs w:val="24"/>
        </w:rPr>
        <w:t xml:space="preserve">] Il superamento della soglia </w:t>
      </w:r>
      <w:r w:rsidRPr="00BA3D28">
        <w:rPr>
          <w:rFonts w:asciiTheme="minorHAnsi" w:eastAsia="Times New Roman" w:hAnsiTheme="minorHAnsi" w:cstheme="minorHAnsi"/>
          <w:sz w:val="24"/>
          <w:szCs w:val="24"/>
        </w:rPr>
        <w:lastRenderedPageBreak/>
        <w:t>di sbarramento è calcolato prima della riparametrazione di cui al punto 18.4.</w:t>
      </w:r>
    </w:p>
    <w:p w14:paraId="1B9382A2" w14:textId="77777777" w:rsidR="005F46E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5073288" w14:textId="77777777" w:rsidR="005F46E8" w:rsidRPr="00BA3D28" w:rsidRDefault="005F46E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CD7ECF">
        <w:rPr>
          <w:rFonts w:asciiTheme="minorHAnsi" w:eastAsia="Times New Roman" w:hAnsiTheme="minorHAnsi" w:cstheme="minorHAnsi"/>
          <w:sz w:val="24"/>
          <w:szCs w:val="24"/>
        </w:rPr>
        <w:t>[</w:t>
      </w:r>
      <w:r w:rsidRPr="00CD7ECF">
        <w:rPr>
          <w:rFonts w:asciiTheme="minorHAnsi" w:eastAsia="Times New Roman" w:hAnsiTheme="minorHAnsi" w:cstheme="minorHAnsi"/>
          <w:b/>
          <w:i/>
          <w:sz w:val="24"/>
          <w:szCs w:val="24"/>
        </w:rPr>
        <w:t>Facoltativo</w:t>
      </w:r>
      <w:r w:rsidRPr="00037374">
        <w:rPr>
          <w:rFonts w:asciiTheme="minorHAnsi" w:eastAsia="Times New Roman" w:hAnsiTheme="minorHAnsi" w:cs="Times New Roman"/>
          <w:b/>
          <w:i/>
          <w:sz w:val="24"/>
          <w:szCs w:val="24"/>
        </w:rPr>
        <w:t xml:space="preserve"> da valutare specificatamente rispetto alle caratteristiche del servizio</w:t>
      </w:r>
      <w:r w:rsidRPr="00CD7ECF">
        <w:rPr>
          <w:rFonts w:asciiTheme="minorHAnsi" w:eastAsia="Times New Roman" w:hAnsiTheme="minorHAnsi" w:cstheme="minorHAnsi"/>
          <w:sz w:val="24"/>
          <w:szCs w:val="24"/>
        </w:rPr>
        <w:t>] qualora l’affidamento abbia ad oggetto prestazioni che potrebbero essere gestite più efficientemente in un determinato ambito territoriale, in applicazione del principio di prossimità è riconosciuto un punteggio premiale fino ad un massimo di punti agli operatori economici che abbiano la propria sede operativa nell’ambito territoriale di riferimento ai sensi dell’art. 108, comma 7, del Codice.</w:t>
      </w:r>
      <w:r w:rsidRPr="00BA3D28">
        <w:rPr>
          <w:rFonts w:asciiTheme="minorHAnsi" w:eastAsia="Times New Roman" w:hAnsiTheme="minorHAnsi" w:cstheme="minorHAnsi"/>
          <w:sz w:val="24"/>
          <w:szCs w:val="24"/>
        </w:rPr>
        <w:t xml:space="preserve"> </w:t>
      </w:r>
    </w:p>
    <w:p w14:paraId="79A24488"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1F8626B" w14:textId="7C6BF89F" w:rsidR="0076366E" w:rsidRPr="00AF38A8" w:rsidRDefault="00BA3D28" w:rsidP="00BD1359">
      <w:pPr>
        <w:pStyle w:val="Titolo1"/>
        <w:numPr>
          <w:ilvl w:val="1"/>
          <w:numId w:val="18"/>
        </w:numPr>
        <w:spacing w:line="276" w:lineRule="auto"/>
        <w:jc w:val="both"/>
        <w:rPr>
          <w:rFonts w:asciiTheme="minorHAnsi" w:eastAsia="Times New Roman" w:hAnsiTheme="minorHAnsi" w:cstheme="minorHAnsi"/>
          <w:sz w:val="24"/>
          <w:szCs w:val="24"/>
        </w:rPr>
      </w:pPr>
      <w:bookmarkStart w:id="173" w:name="_Toc139277052"/>
      <w:bookmarkStart w:id="174" w:name="_Toc140929848"/>
      <w:bookmarkStart w:id="175" w:name="_Toc141027290"/>
      <w:r w:rsidRPr="00AF38A8">
        <w:rPr>
          <w:rFonts w:asciiTheme="minorHAnsi" w:eastAsia="Times New Roman" w:hAnsiTheme="minorHAnsi" w:cstheme="minorHAnsi"/>
          <w:sz w:val="24"/>
          <w:szCs w:val="24"/>
        </w:rPr>
        <w:t>Metodo di attribuzione del coefficiente per il calcolo del punteggio dell’offerta tecnica</w:t>
      </w:r>
      <w:bookmarkEnd w:id="173"/>
      <w:bookmarkEnd w:id="174"/>
      <w:bookmarkEnd w:id="175"/>
    </w:p>
    <w:p w14:paraId="3C319A2B" w14:textId="12F042D8"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b/>
          <w:i/>
          <w:sz w:val="24"/>
          <w:szCs w:val="24"/>
        </w:rPr>
        <w:t>In caso di criteri qualitativi</w:t>
      </w:r>
      <w:r w:rsidRPr="00AF38A8">
        <w:rPr>
          <w:rFonts w:asciiTheme="minorHAnsi" w:eastAsia="Times New Roman" w:hAnsiTheme="minorHAnsi" w:cstheme="minorHAnsi"/>
          <w:sz w:val="24"/>
          <w:szCs w:val="24"/>
        </w:rPr>
        <w:t>] A ciascuno degli elementi qualitativi cui è assegnato un punteggio discrezionale nella colonna “D” della tabella, è attribuito un coefficiente sulla base del metodo … [</w:t>
      </w:r>
      <w:r w:rsidRPr="00AF38A8">
        <w:rPr>
          <w:rFonts w:asciiTheme="minorHAnsi" w:eastAsia="Times New Roman" w:hAnsiTheme="minorHAnsi" w:cstheme="minorHAnsi"/>
          <w:i/>
          <w:sz w:val="24"/>
          <w:szCs w:val="24"/>
        </w:rPr>
        <w:t>indicare il metodo ad esempio: attribuzione discrezionale di un coefficiente variabile da zero ad uno da parte di ciascun commissario oppure confronto a coppie, etc.</w:t>
      </w:r>
      <w:r w:rsidRPr="00AF38A8">
        <w:rPr>
          <w:rFonts w:asciiTheme="minorHAnsi" w:eastAsia="Times New Roman" w:hAnsiTheme="minorHAnsi" w:cstheme="minorHAnsi"/>
          <w:sz w:val="24"/>
          <w:szCs w:val="24"/>
        </w:rPr>
        <w:t>].</w:t>
      </w:r>
    </w:p>
    <w:p w14:paraId="6AC3ADE4" w14:textId="77777777" w:rsidR="001C5D9F" w:rsidRDefault="001C5D9F" w:rsidP="00BD1359">
      <w:pPr>
        <w:pBdr>
          <w:top w:val="single" w:sz="4" w:space="1" w:color="auto"/>
          <w:left w:val="single" w:sz="4" w:space="4" w:color="auto"/>
          <w:bottom w:val="single" w:sz="4" w:space="1" w:color="auto"/>
          <w:right w:val="single" w:sz="4" w:space="4" w:color="auto"/>
        </w:pBdr>
        <w:spacing w:before="60" w:after="60" w:line="276" w:lineRule="auto"/>
        <w:jc w:val="both"/>
        <w:rPr>
          <w:rFonts w:ascii="Titillium" w:hAnsi="Titillium"/>
          <w:i/>
          <w:sz w:val="18"/>
          <w:szCs w:val="18"/>
        </w:rPr>
      </w:pPr>
      <w:r>
        <w:rPr>
          <w:rFonts w:ascii="Titillium" w:hAnsi="Titillium"/>
          <w:i/>
          <w:sz w:val="18"/>
          <w:szCs w:val="18"/>
        </w:rPr>
        <w:t>N.B. Ove la stazione appaltante ricorra al metodo di attribuzione discrezionale del coefficiente variabile da zero ad uno, deve specificare nel bando il valore del coefficiente relativo ai diversi livelli di valutazione ( per esempio: Ottimo = 1; buono = 0,8; adeguato = 0,6 etc.) precisando, inoltre, il metodo di calcolo del coefficiente unico da attribuire all’offerta in relazione al sub-criterio esaminato (per esempio: “la commissione calcola la media aritmetica dei coefficienti attribuiti dai singoli commissari all’offerta in relazione al sub-criterio in esame, al fine di ottenere il coefficiente medio da applicare al medesimo”).</w:t>
      </w:r>
    </w:p>
    <w:p w14:paraId="0E53B5E1" w14:textId="0342AE04" w:rsidR="0076366E" w:rsidRPr="00AF38A8" w:rsidRDefault="00117522"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 </w:t>
      </w:r>
      <w:r w:rsidR="00BA3D28" w:rsidRPr="00AF38A8">
        <w:rPr>
          <w:rFonts w:asciiTheme="minorHAnsi" w:eastAsia="Times New Roman" w:hAnsiTheme="minorHAnsi" w:cstheme="minorHAnsi"/>
          <w:sz w:val="24"/>
          <w:szCs w:val="24"/>
        </w:rPr>
        <w:t>[</w:t>
      </w:r>
      <w:r w:rsidR="00BA3D28" w:rsidRPr="00AF38A8">
        <w:rPr>
          <w:rFonts w:asciiTheme="minorHAnsi" w:eastAsia="Times New Roman" w:hAnsiTheme="minorHAnsi" w:cstheme="minorHAnsi"/>
          <w:b/>
          <w:i/>
          <w:sz w:val="24"/>
          <w:szCs w:val="24"/>
        </w:rPr>
        <w:t>In caso di criteri tabellari</w:t>
      </w:r>
      <w:r w:rsidR="00BA3D28" w:rsidRPr="00AF38A8">
        <w:rPr>
          <w:rFonts w:asciiTheme="minorHAnsi" w:eastAsia="Times New Roman" w:hAnsiTheme="minorHAnsi" w:cstheme="minorHAnsi"/>
          <w:sz w:val="24"/>
          <w:szCs w:val="24"/>
        </w:rPr>
        <w:t>] Quanto agli elementi cui è assegnato un punteggio tabellare identificato dalla colonna “T” della tabella, il relativo punteggio è assegnato, automaticamente e in valore assoluto, sulla base della presenza o assenza nell’offerta, dell’elemento richiesto.</w:t>
      </w:r>
    </w:p>
    <w:p w14:paraId="3C752B04"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6000DB8" w14:textId="03697D00" w:rsidR="0076366E" w:rsidRPr="00AF38A8" w:rsidRDefault="00BA3D28" w:rsidP="00BD1359">
      <w:pPr>
        <w:pStyle w:val="Titolo1"/>
        <w:numPr>
          <w:ilvl w:val="1"/>
          <w:numId w:val="18"/>
        </w:numPr>
        <w:spacing w:line="276" w:lineRule="auto"/>
        <w:jc w:val="both"/>
        <w:rPr>
          <w:rFonts w:asciiTheme="minorHAnsi" w:eastAsia="Times New Roman" w:hAnsiTheme="minorHAnsi" w:cstheme="minorHAnsi"/>
          <w:sz w:val="24"/>
          <w:szCs w:val="24"/>
        </w:rPr>
      </w:pPr>
      <w:bookmarkStart w:id="176" w:name="_Toc139277053"/>
      <w:bookmarkStart w:id="177" w:name="_Toc140929849"/>
      <w:bookmarkStart w:id="178" w:name="_Toc141027291"/>
      <w:r w:rsidRPr="00AF38A8">
        <w:rPr>
          <w:rFonts w:asciiTheme="minorHAnsi" w:eastAsia="Times New Roman" w:hAnsiTheme="minorHAnsi" w:cstheme="minorHAnsi"/>
          <w:sz w:val="24"/>
          <w:szCs w:val="24"/>
        </w:rPr>
        <w:t>Metodo di attribuzione del coefficiente per il calcolo del punteggio dell’offerta economica</w:t>
      </w:r>
      <w:bookmarkEnd w:id="176"/>
      <w:bookmarkEnd w:id="177"/>
      <w:r w:rsidR="00694E06">
        <w:rPr>
          <w:rFonts w:asciiTheme="minorHAnsi" w:eastAsia="Times New Roman" w:hAnsiTheme="minorHAnsi" w:cstheme="minorHAnsi"/>
          <w:sz w:val="24"/>
          <w:szCs w:val="24"/>
        </w:rPr>
        <w:t xml:space="preserve"> [</w:t>
      </w:r>
      <w:r w:rsidR="00694E06" w:rsidRPr="00694E06">
        <w:rPr>
          <w:rFonts w:asciiTheme="minorHAnsi" w:eastAsia="Times New Roman" w:hAnsiTheme="minorHAnsi" w:cstheme="minorHAnsi"/>
          <w:i/>
          <w:sz w:val="24"/>
          <w:szCs w:val="24"/>
        </w:rPr>
        <w:t>e dell’offerta tempo, ove prevista</w:t>
      </w:r>
      <w:r w:rsidR="00694E06">
        <w:rPr>
          <w:rFonts w:asciiTheme="minorHAnsi" w:eastAsia="Times New Roman" w:hAnsiTheme="minorHAnsi" w:cstheme="minorHAnsi"/>
          <w:sz w:val="24"/>
          <w:szCs w:val="24"/>
        </w:rPr>
        <w:t>]</w:t>
      </w:r>
      <w:bookmarkEnd w:id="178"/>
    </w:p>
    <w:p w14:paraId="7B1B40CE" w14:textId="5969F106"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79" w:name="_Hlk141026464"/>
      <w:r w:rsidRPr="00AF38A8">
        <w:rPr>
          <w:rFonts w:asciiTheme="minorHAnsi" w:eastAsia="Times New Roman" w:hAnsiTheme="minorHAnsi" w:cstheme="minorHAnsi"/>
          <w:sz w:val="24"/>
          <w:szCs w:val="24"/>
        </w:rPr>
        <w:t>Quanto all’offerta economica, è attribuito all’elemento economico un coefficiente, variabile da zero ad uno, calcolato tramite la [selezionare una delle formule di seguito indicate]:</w:t>
      </w:r>
    </w:p>
    <w:p w14:paraId="5F920D81"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 xml:space="preserve">Formula con interpolazione lineare </w:t>
      </w:r>
    </w:p>
    <w:p w14:paraId="011CF2A5" w14:textId="79A30BE6"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Al fine di ridurre il ricorso a ribassi eccessivi rispetto al corrispettivo a base di gara, per l’attribuzione dei punteggi relativi al criterio del prezzo, è preferibile il ricorso alla formula bilineare in luogo del ricorso alla formula dell’interpolazione lineare</w:t>
      </w:r>
      <w:r w:rsidRPr="00AF38A8">
        <w:rPr>
          <w:rFonts w:asciiTheme="minorHAnsi" w:eastAsia="Times New Roman" w:hAnsiTheme="minorHAnsi" w:cstheme="minorHAnsi"/>
          <w:sz w:val="24"/>
          <w:szCs w:val="24"/>
        </w:rPr>
        <w:t xml:space="preserve">]. </w:t>
      </w:r>
    </w:p>
    <w:p w14:paraId="4E95632E"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tbl>
      <w:tblPr>
        <w:tblStyle w:val="afff5"/>
        <w:tblW w:w="35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tblGrid>
      <w:tr w:rsidR="00BA3D28" w:rsidRPr="00AF38A8" w14:paraId="02061843" w14:textId="77777777">
        <w:trPr>
          <w:jc w:val="center"/>
        </w:trPr>
        <w:tc>
          <w:tcPr>
            <w:tcW w:w="3544" w:type="dxa"/>
          </w:tcPr>
          <w:p w14:paraId="540AC13D" w14:textId="77777777" w:rsidR="0076366E" w:rsidRPr="00AF38A8" w:rsidRDefault="0076366E" w:rsidP="00BD1359">
            <w:pPr>
              <w:widowControl w:val="0"/>
              <w:pBdr>
                <w:top w:val="nil"/>
                <w:left w:val="nil"/>
                <w:bottom w:val="nil"/>
                <w:right w:val="nil"/>
                <w:between w:val="nil"/>
              </w:pBdr>
              <w:spacing w:line="276" w:lineRule="auto"/>
              <w:jc w:val="center"/>
              <w:rPr>
                <w:rFonts w:asciiTheme="minorHAnsi" w:eastAsia="Times New Roman" w:hAnsiTheme="minorHAnsi" w:cstheme="minorHAnsi"/>
                <w:i/>
                <w:sz w:val="24"/>
                <w:szCs w:val="24"/>
              </w:rPr>
            </w:pPr>
            <w:bookmarkStart w:id="180" w:name="_heading=h.3q5sasy" w:colFirst="0" w:colLast="0"/>
            <w:bookmarkEnd w:id="180"/>
          </w:p>
          <w:p w14:paraId="7F968EFD" w14:textId="77777777" w:rsidR="009751EC" w:rsidRPr="009751EC" w:rsidRDefault="00000000" w:rsidP="00BD1359">
            <w:pPr>
              <w:spacing w:before="60" w:after="60" w:line="276" w:lineRule="auto"/>
              <w:rPr>
                <w:sz w:val="28"/>
              </w:rPr>
            </w:pPr>
            <m:oMathPara>
              <m:oMath>
                <m:sSub>
                  <m:sSubPr>
                    <m:ctrlPr>
                      <w:rPr>
                        <w:rFonts w:ascii="Cambria Math" w:hAnsi="Cambria Math"/>
                        <w:sz w:val="28"/>
                      </w:rPr>
                    </m:ctrlPr>
                  </m:sSubPr>
                  <m:e>
                    <m:r>
                      <w:rPr>
                        <w:rFonts w:ascii="Cambria Math" w:hAnsi="Cambria Math"/>
                        <w:sz w:val="28"/>
                      </w:rPr>
                      <m:t>C</m:t>
                    </m:r>
                  </m:e>
                  <m:sub>
                    <m:r>
                      <w:rPr>
                        <w:rFonts w:ascii="Cambria Math" w:hAnsi="Cambria Math"/>
                        <w:sz w:val="28"/>
                      </w:rPr>
                      <m:t>i</m:t>
                    </m:r>
                  </m:sub>
                </m:sSub>
                <m:r>
                  <w:rPr>
                    <w:rFonts w:ascii="Cambria Math" w:hAnsi="Cambria Math"/>
                    <w:sz w:val="28"/>
                  </w:rPr>
                  <m:t>=</m:t>
                </m:r>
                <m:f>
                  <m:fPr>
                    <m:ctrlPr>
                      <w:rPr>
                        <w:rFonts w:ascii="Cambria Math" w:hAnsi="Cambria Math"/>
                        <w:sz w:val="28"/>
                      </w:rPr>
                    </m:ctrlPr>
                  </m:fPr>
                  <m:num>
                    <m:sSub>
                      <m:sSubPr>
                        <m:ctrlPr>
                          <w:rPr>
                            <w:rFonts w:ascii="Cambria Math" w:hAnsi="Cambria Math"/>
                            <w:sz w:val="28"/>
                          </w:rPr>
                        </m:ctrlPr>
                      </m:sSubPr>
                      <m:e>
                        <m:r>
                          <w:rPr>
                            <w:rFonts w:ascii="Cambria Math" w:hAnsi="Cambria Math"/>
                            <w:sz w:val="28"/>
                          </w:rPr>
                          <m:t>A</m:t>
                        </m:r>
                      </m:e>
                      <m:sub>
                        <m:r>
                          <w:rPr>
                            <w:rFonts w:ascii="Cambria Math" w:hAnsi="Cambria Math"/>
                            <w:sz w:val="28"/>
                          </w:rPr>
                          <m:t>i</m:t>
                        </m:r>
                      </m:sub>
                    </m:sSub>
                  </m:num>
                  <m:den>
                    <m:sSub>
                      <m:sSubPr>
                        <m:ctrlPr>
                          <w:rPr>
                            <w:rFonts w:ascii="Cambria Math" w:hAnsi="Cambria Math"/>
                            <w:sz w:val="28"/>
                          </w:rPr>
                        </m:ctrlPr>
                      </m:sSubPr>
                      <m:e>
                        <m:r>
                          <w:rPr>
                            <w:rFonts w:ascii="Cambria Math" w:hAnsi="Cambria Math"/>
                            <w:sz w:val="28"/>
                          </w:rPr>
                          <m:t>A</m:t>
                        </m:r>
                      </m:e>
                      <m:sub>
                        <m:r>
                          <w:rPr>
                            <w:rFonts w:ascii="Cambria Math" w:hAnsi="Cambria Math"/>
                            <w:sz w:val="28"/>
                          </w:rPr>
                          <m:t>max</m:t>
                        </m:r>
                      </m:sub>
                    </m:sSub>
                  </m:den>
                </m:f>
              </m:oMath>
            </m:oMathPara>
          </w:p>
          <w:p w14:paraId="241984BD" w14:textId="77777777" w:rsidR="0076366E" w:rsidRPr="00AF38A8" w:rsidRDefault="0076366E" w:rsidP="00BD1359">
            <w:pPr>
              <w:widowControl w:val="0"/>
              <w:pBdr>
                <w:top w:val="nil"/>
                <w:left w:val="nil"/>
                <w:bottom w:val="nil"/>
                <w:right w:val="nil"/>
                <w:between w:val="nil"/>
              </w:pBdr>
              <w:spacing w:before="114" w:line="276" w:lineRule="auto"/>
              <w:rPr>
                <w:rFonts w:asciiTheme="minorHAnsi" w:eastAsia="Times New Roman" w:hAnsiTheme="minorHAnsi" w:cstheme="minorHAnsi"/>
                <w:b/>
                <w:sz w:val="24"/>
                <w:szCs w:val="24"/>
              </w:rPr>
            </w:pPr>
          </w:p>
        </w:tc>
      </w:tr>
    </w:tbl>
    <w:p w14:paraId="3EDD6E66" w14:textId="77777777" w:rsidR="0076366E" w:rsidRPr="00AF38A8" w:rsidRDefault="00BA3D28" w:rsidP="00BD1359">
      <w:pPr>
        <w:spacing w:before="30" w:line="276" w:lineRule="auto"/>
        <w:ind w:left="660"/>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dove:</w:t>
      </w:r>
    </w:p>
    <w:p w14:paraId="4FE11167" w14:textId="14A5DC43" w:rsidR="0076366E" w:rsidRPr="009751EC" w:rsidRDefault="00BA3D28" w:rsidP="00BD1359">
      <w:pPr>
        <w:tabs>
          <w:tab w:val="left" w:pos="1425"/>
        </w:tabs>
        <w:spacing w:before="116" w:line="276" w:lineRule="auto"/>
        <w:ind w:left="660"/>
        <w:rPr>
          <w:rFonts w:ascii="Times New Roman" w:eastAsia="Times New Roman" w:hAnsi="Times New Roman" w:cs="Times New Roman"/>
          <w:i/>
          <w:sz w:val="24"/>
          <w:szCs w:val="24"/>
        </w:rPr>
      </w:pPr>
      <w:r w:rsidRPr="009751EC">
        <w:rPr>
          <w:rFonts w:ascii="Times New Roman" w:eastAsia="Times New Roman" w:hAnsi="Times New Roman" w:cs="Times New Roman"/>
          <w:i/>
          <w:sz w:val="24"/>
          <w:szCs w:val="24"/>
        </w:rPr>
        <w:t>C</w:t>
      </w:r>
      <w:r w:rsidRPr="009751EC">
        <w:rPr>
          <w:rFonts w:ascii="Times New Roman" w:eastAsia="Times New Roman" w:hAnsi="Times New Roman" w:cs="Times New Roman"/>
          <w:i/>
          <w:sz w:val="24"/>
          <w:szCs w:val="24"/>
          <w:vertAlign w:val="subscript"/>
        </w:rPr>
        <w:t>i</w:t>
      </w:r>
      <w:r w:rsidRPr="009751EC">
        <w:rPr>
          <w:rFonts w:ascii="Times New Roman" w:eastAsia="Times New Roman" w:hAnsi="Times New Roman" w:cs="Times New Roman"/>
          <w:b/>
          <w:i/>
          <w:sz w:val="24"/>
          <w:szCs w:val="24"/>
        </w:rPr>
        <w:t xml:space="preserve"> </w:t>
      </w:r>
      <w:r w:rsidRPr="009751EC">
        <w:rPr>
          <w:rFonts w:ascii="Times New Roman" w:eastAsia="Times New Roman" w:hAnsi="Times New Roman" w:cs="Times New Roman"/>
          <w:i/>
          <w:sz w:val="24"/>
          <w:szCs w:val="24"/>
        </w:rPr>
        <w:t>=</w:t>
      </w:r>
      <w:r w:rsidRPr="009751EC">
        <w:rPr>
          <w:rFonts w:ascii="Times New Roman" w:eastAsia="Times New Roman" w:hAnsi="Times New Roman" w:cs="Times New Roman"/>
          <w:i/>
          <w:sz w:val="24"/>
          <w:szCs w:val="24"/>
        </w:rPr>
        <w:tab/>
      </w:r>
      <w:r w:rsidR="009751EC">
        <w:rPr>
          <w:rFonts w:ascii="Times New Roman" w:eastAsia="Times New Roman" w:hAnsi="Times New Roman" w:cs="Times New Roman"/>
          <w:i/>
          <w:sz w:val="24"/>
          <w:szCs w:val="24"/>
        </w:rPr>
        <w:t xml:space="preserve">    </w:t>
      </w:r>
      <w:r w:rsidRPr="009751EC">
        <w:rPr>
          <w:rFonts w:ascii="Times New Roman" w:eastAsia="Times New Roman" w:hAnsi="Times New Roman" w:cs="Times New Roman"/>
          <w:i/>
          <w:sz w:val="24"/>
          <w:szCs w:val="24"/>
        </w:rPr>
        <w:t>coefficiente attribuito al concorrente i-esimo;</w:t>
      </w:r>
    </w:p>
    <w:p w14:paraId="08657ECD" w14:textId="69E8EFAB" w:rsidR="0076366E" w:rsidRPr="009751EC" w:rsidRDefault="00BA3D28" w:rsidP="00BD1359">
      <w:pPr>
        <w:tabs>
          <w:tab w:val="left" w:pos="1425"/>
        </w:tabs>
        <w:spacing w:before="115" w:line="276" w:lineRule="auto"/>
        <w:ind w:left="660"/>
        <w:rPr>
          <w:rFonts w:ascii="Times New Roman" w:eastAsia="Times New Roman" w:hAnsi="Times New Roman" w:cs="Times New Roman"/>
          <w:i/>
          <w:sz w:val="24"/>
          <w:szCs w:val="24"/>
        </w:rPr>
      </w:pPr>
      <w:r w:rsidRPr="009751EC">
        <w:rPr>
          <w:rFonts w:ascii="Times New Roman" w:eastAsia="Times New Roman" w:hAnsi="Times New Roman" w:cs="Times New Roman"/>
          <w:i/>
          <w:sz w:val="24"/>
          <w:szCs w:val="24"/>
        </w:rPr>
        <w:t>A</w:t>
      </w:r>
      <w:r w:rsidRPr="009751EC">
        <w:rPr>
          <w:rFonts w:ascii="Times New Roman" w:eastAsia="Times New Roman" w:hAnsi="Times New Roman" w:cs="Times New Roman"/>
          <w:i/>
          <w:sz w:val="24"/>
          <w:szCs w:val="24"/>
          <w:vertAlign w:val="subscript"/>
        </w:rPr>
        <w:t>a</w:t>
      </w:r>
      <w:r w:rsidRPr="009751EC">
        <w:rPr>
          <w:rFonts w:ascii="Times New Roman" w:eastAsia="Times New Roman" w:hAnsi="Times New Roman" w:cs="Times New Roman"/>
          <w:b/>
          <w:i/>
          <w:sz w:val="24"/>
          <w:szCs w:val="24"/>
        </w:rPr>
        <w:t xml:space="preserve"> </w:t>
      </w:r>
      <w:r w:rsidRPr="009751EC">
        <w:rPr>
          <w:rFonts w:ascii="Times New Roman" w:eastAsia="Times New Roman" w:hAnsi="Times New Roman" w:cs="Times New Roman"/>
          <w:i/>
          <w:sz w:val="24"/>
          <w:szCs w:val="24"/>
        </w:rPr>
        <w:t>=</w:t>
      </w:r>
      <w:r w:rsidRPr="009751EC">
        <w:rPr>
          <w:rFonts w:ascii="Times New Roman" w:eastAsia="Times New Roman" w:hAnsi="Times New Roman" w:cs="Times New Roman"/>
          <w:i/>
          <w:sz w:val="24"/>
          <w:szCs w:val="24"/>
        </w:rPr>
        <w:tab/>
      </w:r>
      <w:r w:rsidR="009751EC">
        <w:rPr>
          <w:rFonts w:ascii="Times New Roman" w:eastAsia="Times New Roman" w:hAnsi="Times New Roman" w:cs="Times New Roman"/>
          <w:i/>
          <w:sz w:val="24"/>
          <w:szCs w:val="24"/>
        </w:rPr>
        <w:t xml:space="preserve">   </w:t>
      </w:r>
      <w:r w:rsidRPr="009751EC">
        <w:rPr>
          <w:rFonts w:ascii="Times New Roman" w:eastAsia="Times New Roman" w:hAnsi="Times New Roman" w:cs="Times New Roman"/>
          <w:i/>
          <w:sz w:val="24"/>
          <w:szCs w:val="24"/>
        </w:rPr>
        <w:t>ribasso percentuale del concorrente i-esimo;</w:t>
      </w:r>
    </w:p>
    <w:p w14:paraId="38BE44E8" w14:textId="6E076AD1" w:rsidR="0076366E" w:rsidRPr="009751EC" w:rsidRDefault="00BA3D28" w:rsidP="00BD1359">
      <w:pPr>
        <w:tabs>
          <w:tab w:val="left" w:pos="1821"/>
        </w:tabs>
        <w:spacing w:before="116" w:line="276" w:lineRule="auto"/>
        <w:ind w:left="660"/>
        <w:rPr>
          <w:rFonts w:ascii="Times New Roman" w:eastAsia="Times New Roman" w:hAnsi="Times New Roman" w:cs="Times New Roman"/>
          <w:i/>
          <w:sz w:val="24"/>
          <w:szCs w:val="24"/>
        </w:rPr>
      </w:pPr>
      <w:proofErr w:type="spellStart"/>
      <w:r w:rsidRPr="009751EC">
        <w:rPr>
          <w:rFonts w:ascii="Times New Roman" w:eastAsia="Times New Roman" w:hAnsi="Times New Roman" w:cs="Times New Roman"/>
          <w:i/>
          <w:sz w:val="24"/>
          <w:szCs w:val="24"/>
        </w:rPr>
        <w:t>A</w:t>
      </w:r>
      <w:r w:rsidRPr="009751EC">
        <w:rPr>
          <w:rFonts w:ascii="Times New Roman" w:eastAsia="Times New Roman" w:hAnsi="Times New Roman" w:cs="Times New Roman"/>
          <w:i/>
          <w:sz w:val="24"/>
          <w:szCs w:val="24"/>
          <w:vertAlign w:val="subscript"/>
        </w:rPr>
        <w:t>max</w:t>
      </w:r>
      <w:proofErr w:type="spellEnd"/>
      <w:r w:rsidRPr="009751EC">
        <w:rPr>
          <w:rFonts w:ascii="Times New Roman" w:eastAsia="Times New Roman" w:hAnsi="Times New Roman" w:cs="Times New Roman"/>
          <w:b/>
          <w:i/>
          <w:sz w:val="24"/>
          <w:szCs w:val="24"/>
        </w:rPr>
        <w:t xml:space="preserve">  </w:t>
      </w:r>
      <w:r w:rsidRPr="009751EC">
        <w:rPr>
          <w:rFonts w:ascii="Times New Roman" w:eastAsia="Times New Roman" w:hAnsi="Times New Roman" w:cs="Times New Roman"/>
          <w:i/>
          <w:sz w:val="24"/>
          <w:szCs w:val="24"/>
        </w:rPr>
        <w:t>=</w:t>
      </w:r>
      <w:r w:rsidR="009751EC">
        <w:rPr>
          <w:rFonts w:ascii="Times New Roman" w:eastAsia="Times New Roman" w:hAnsi="Times New Roman" w:cs="Times New Roman"/>
          <w:i/>
          <w:sz w:val="24"/>
          <w:szCs w:val="24"/>
        </w:rPr>
        <w:t xml:space="preserve">    </w:t>
      </w:r>
      <w:r w:rsidRPr="009751EC">
        <w:rPr>
          <w:rFonts w:ascii="Times New Roman" w:eastAsia="Times New Roman" w:hAnsi="Times New Roman" w:cs="Times New Roman"/>
          <w:i/>
          <w:sz w:val="24"/>
          <w:szCs w:val="24"/>
        </w:rPr>
        <w:t>ribasso percentuale  più conveniente.</w:t>
      </w:r>
    </w:p>
    <w:p w14:paraId="7666483A"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CEDD201"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w:t>
      </w:r>
    </w:p>
    <w:p w14:paraId="5A9E50CB" w14:textId="4F7A7FC0" w:rsidR="0076366E"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Formula “bilineare”</w:t>
      </w:r>
    </w:p>
    <w:p w14:paraId="2983C2AA" w14:textId="643B1505" w:rsidR="009751EC" w:rsidRDefault="009751EC"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p w14:paraId="49A23BEE" w14:textId="77777777" w:rsidR="008837FB" w:rsidRDefault="008837FB"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p w14:paraId="44E13A53" w14:textId="714641B4" w:rsidR="009751EC" w:rsidRDefault="00000000"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m:oMathPara>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=X∙</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i</m:t>
                              </m:r>
                            </m:sub>
                          </m:sSub>
                        </m:num>
                        <m:den>
                          <m:sSub>
                            <m:sSubPr>
                              <m:ctrlPr>
                                <w:rPr>
                                  <w:rFonts w:ascii="Cambria Math" w:hAnsi="Cambria Math"/>
                                </w:rPr>
                              </m:ctrlPr>
                            </m:sSubPr>
                            <m:e>
                              <m:r>
                                <w:rPr>
                                  <w:rFonts w:ascii="Cambria Math" w:hAnsi="Cambria Math"/>
                                </w:rPr>
                                <m:t>A</m:t>
                              </m:r>
                            </m:e>
                            <m:sub>
                              <m:r>
                                <w:rPr>
                                  <w:rFonts w:ascii="Cambria Math" w:hAnsi="Cambria Math"/>
                                </w:rPr>
                                <m:t>soglia</m:t>
                              </m:r>
                            </m:sub>
                          </m:sSub>
                        </m:den>
                      </m:f>
                    </m:e>
                  </m:d>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soglia</m:t>
                      </m:r>
                    </m:sub>
                  </m:sSub>
                </m:e>
                <m:e>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=X+</m:t>
                  </m:r>
                  <m:d>
                    <m:dPr>
                      <m:ctrlPr>
                        <w:rPr>
                          <w:rFonts w:ascii="Cambria Math" w:hAnsi="Cambria Math"/>
                        </w:rPr>
                      </m:ctrlPr>
                    </m:dPr>
                    <m:e>
                      <m:r>
                        <w:rPr>
                          <w:rFonts w:ascii="Cambria Math" w:hAnsi="Cambria Math"/>
                        </w:rPr>
                        <m:t>1-X</m:t>
                      </m:r>
                    </m:e>
                  </m:d>
                  <m:r>
                    <w:rPr>
                      <w:rFonts w:ascii="Cambria Math" w:hAnsi="Cambria Math"/>
                    </w:rPr>
                    <m:t>∙</m:t>
                  </m:r>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soglia</m:t>
                                  </m:r>
                                </m:sub>
                              </m:sSub>
                            </m:e>
                          </m:d>
                        </m:num>
                        <m:den>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soglia</m:t>
                                  </m:r>
                                </m:sub>
                              </m:sSub>
                            </m:e>
                          </m:d>
                        </m:den>
                      </m:f>
                    </m:e>
                  </m:d>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&gt;</m:t>
                  </m:r>
                  <m:sSub>
                    <m:sSubPr>
                      <m:ctrlPr>
                        <w:rPr>
                          <w:rFonts w:ascii="Cambria Math" w:hAnsi="Cambria Math"/>
                        </w:rPr>
                      </m:ctrlPr>
                    </m:sSubPr>
                    <m:e>
                      <m:r>
                        <w:rPr>
                          <w:rFonts w:ascii="Cambria Math" w:hAnsi="Cambria Math"/>
                        </w:rPr>
                        <m:t>A</m:t>
                      </m:r>
                    </m:e>
                    <m:sub>
                      <m:r>
                        <w:rPr>
                          <w:rFonts w:ascii="Cambria Math" w:hAnsi="Cambria Math"/>
                        </w:rPr>
                        <m:t>soglia</m:t>
                      </m:r>
                    </m:sub>
                  </m:sSub>
                </m:e>
              </m:eqArr>
            </m:e>
          </m:d>
        </m:oMath>
      </m:oMathPara>
    </w:p>
    <w:p w14:paraId="2705B858"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17DE0D6" w14:textId="77777777" w:rsidR="0076366E" w:rsidRPr="00AF38A8" w:rsidRDefault="00BA3D28" w:rsidP="00BD1359">
      <w:pPr>
        <w:spacing w:before="30" w:line="276" w:lineRule="auto"/>
        <w:ind w:left="660"/>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dove:</w:t>
      </w:r>
    </w:p>
    <w:p w14:paraId="7527358D" w14:textId="77777777" w:rsidR="0076366E" w:rsidRPr="009751EC" w:rsidRDefault="00BA3D28" w:rsidP="00BD1359">
      <w:pPr>
        <w:tabs>
          <w:tab w:val="left" w:pos="1425"/>
        </w:tabs>
        <w:spacing w:before="116" w:line="276" w:lineRule="auto"/>
        <w:ind w:left="660"/>
        <w:rPr>
          <w:rFonts w:ascii="Times New Roman" w:eastAsia="Times New Roman" w:hAnsi="Times New Roman" w:cs="Times New Roman"/>
          <w:i/>
          <w:sz w:val="24"/>
          <w:szCs w:val="24"/>
        </w:rPr>
      </w:pPr>
      <w:r w:rsidRPr="009751EC">
        <w:rPr>
          <w:rFonts w:ascii="Times New Roman" w:eastAsia="Times New Roman" w:hAnsi="Times New Roman" w:cs="Times New Roman"/>
          <w:i/>
          <w:sz w:val="24"/>
          <w:szCs w:val="24"/>
        </w:rPr>
        <w:t>C</w:t>
      </w:r>
      <w:r w:rsidRPr="009751EC">
        <w:rPr>
          <w:rFonts w:ascii="Times New Roman" w:eastAsia="Times New Roman" w:hAnsi="Times New Roman" w:cs="Times New Roman"/>
          <w:i/>
          <w:sz w:val="24"/>
          <w:szCs w:val="24"/>
          <w:vertAlign w:val="subscript"/>
        </w:rPr>
        <w:t>i</w:t>
      </w:r>
      <w:r w:rsidRPr="009751EC">
        <w:rPr>
          <w:rFonts w:ascii="Times New Roman" w:eastAsia="Times New Roman" w:hAnsi="Times New Roman" w:cs="Times New Roman"/>
          <w:b/>
          <w:i/>
          <w:sz w:val="24"/>
          <w:szCs w:val="24"/>
        </w:rPr>
        <w:t xml:space="preserve"> </w:t>
      </w:r>
      <w:r w:rsidRPr="009751EC">
        <w:rPr>
          <w:rFonts w:ascii="Times New Roman" w:eastAsia="Times New Roman" w:hAnsi="Times New Roman" w:cs="Times New Roman"/>
          <w:i/>
          <w:sz w:val="24"/>
          <w:szCs w:val="24"/>
        </w:rPr>
        <w:t>=</w:t>
      </w:r>
      <w:r w:rsidRPr="009751EC">
        <w:rPr>
          <w:rFonts w:ascii="Times New Roman" w:eastAsia="Times New Roman" w:hAnsi="Times New Roman" w:cs="Times New Roman"/>
          <w:i/>
          <w:sz w:val="24"/>
          <w:szCs w:val="24"/>
        </w:rPr>
        <w:tab/>
        <w:t>coefficiente attribuito al concorrente i-esimo;</w:t>
      </w:r>
    </w:p>
    <w:p w14:paraId="7C3E4AD2" w14:textId="77777777" w:rsidR="0076366E" w:rsidRPr="009751EC" w:rsidRDefault="00BA3D28" w:rsidP="00BD1359">
      <w:pPr>
        <w:tabs>
          <w:tab w:val="left" w:pos="1425"/>
        </w:tabs>
        <w:spacing w:before="115" w:line="276" w:lineRule="auto"/>
        <w:ind w:left="660"/>
        <w:rPr>
          <w:rFonts w:ascii="Times New Roman" w:eastAsia="Times New Roman" w:hAnsi="Times New Roman" w:cs="Times New Roman"/>
          <w:i/>
          <w:sz w:val="24"/>
          <w:szCs w:val="24"/>
        </w:rPr>
      </w:pPr>
      <w:r w:rsidRPr="009751EC">
        <w:rPr>
          <w:rFonts w:ascii="Times New Roman" w:eastAsia="Times New Roman" w:hAnsi="Times New Roman" w:cs="Times New Roman"/>
          <w:i/>
          <w:sz w:val="24"/>
          <w:szCs w:val="24"/>
        </w:rPr>
        <w:t>A</w:t>
      </w:r>
      <w:r w:rsidRPr="009751EC">
        <w:rPr>
          <w:rFonts w:ascii="Times New Roman" w:eastAsia="Times New Roman" w:hAnsi="Times New Roman" w:cs="Times New Roman"/>
          <w:i/>
          <w:sz w:val="24"/>
          <w:szCs w:val="24"/>
          <w:vertAlign w:val="subscript"/>
        </w:rPr>
        <w:t>i</w:t>
      </w:r>
      <w:r w:rsidRPr="009751EC">
        <w:rPr>
          <w:rFonts w:ascii="Times New Roman" w:eastAsia="Times New Roman" w:hAnsi="Times New Roman" w:cs="Times New Roman"/>
          <w:b/>
          <w:i/>
          <w:sz w:val="24"/>
          <w:szCs w:val="24"/>
        </w:rPr>
        <w:t xml:space="preserve"> </w:t>
      </w:r>
      <w:r w:rsidRPr="009751EC">
        <w:rPr>
          <w:rFonts w:ascii="Times New Roman" w:eastAsia="Times New Roman" w:hAnsi="Times New Roman" w:cs="Times New Roman"/>
          <w:i/>
          <w:sz w:val="24"/>
          <w:szCs w:val="24"/>
        </w:rPr>
        <w:t>=</w:t>
      </w:r>
      <w:r w:rsidRPr="009751EC">
        <w:rPr>
          <w:rFonts w:ascii="Times New Roman" w:eastAsia="Times New Roman" w:hAnsi="Times New Roman" w:cs="Times New Roman"/>
          <w:i/>
          <w:sz w:val="24"/>
          <w:szCs w:val="24"/>
        </w:rPr>
        <w:tab/>
        <w:t>ribasso percentuale del concorrente i-esimo;</w:t>
      </w:r>
    </w:p>
    <w:p w14:paraId="7CC94A01" w14:textId="1A10F797" w:rsidR="0076366E" w:rsidRPr="009751EC" w:rsidRDefault="00BA3D28" w:rsidP="00BD1359">
      <w:pPr>
        <w:tabs>
          <w:tab w:val="left" w:pos="1425"/>
        </w:tabs>
        <w:spacing w:before="115" w:line="276" w:lineRule="auto"/>
        <w:ind w:left="660"/>
        <w:rPr>
          <w:rFonts w:ascii="Times New Roman" w:eastAsia="Times New Roman" w:hAnsi="Times New Roman" w:cs="Times New Roman"/>
          <w:i/>
          <w:sz w:val="24"/>
          <w:szCs w:val="24"/>
        </w:rPr>
      </w:pPr>
      <w:r w:rsidRPr="009751EC">
        <w:rPr>
          <w:rFonts w:ascii="Times New Roman" w:eastAsia="Times New Roman" w:hAnsi="Times New Roman" w:cs="Times New Roman"/>
          <w:i/>
          <w:sz w:val="24"/>
          <w:szCs w:val="24"/>
        </w:rPr>
        <w:t>A</w:t>
      </w:r>
      <w:r w:rsidRPr="009751EC">
        <w:rPr>
          <w:rFonts w:ascii="Times New Roman" w:eastAsia="Times New Roman" w:hAnsi="Times New Roman" w:cs="Times New Roman"/>
          <w:i/>
          <w:sz w:val="24"/>
          <w:szCs w:val="24"/>
          <w:vertAlign w:val="subscript"/>
        </w:rPr>
        <w:t xml:space="preserve">soglia </w:t>
      </w:r>
      <w:r w:rsidRPr="009751EC">
        <w:rPr>
          <w:rFonts w:ascii="Times New Roman" w:eastAsia="Times New Roman" w:hAnsi="Times New Roman" w:cs="Times New Roman"/>
          <w:i/>
          <w:sz w:val="24"/>
          <w:szCs w:val="24"/>
        </w:rPr>
        <w:t xml:space="preserve">= </w:t>
      </w:r>
      <w:r w:rsidR="009751EC">
        <w:rPr>
          <w:rFonts w:ascii="Times New Roman" w:eastAsia="Times New Roman" w:hAnsi="Times New Roman" w:cs="Times New Roman"/>
          <w:i/>
          <w:sz w:val="24"/>
          <w:szCs w:val="24"/>
        </w:rPr>
        <w:t xml:space="preserve"> </w:t>
      </w:r>
      <w:r w:rsidRPr="009751EC">
        <w:rPr>
          <w:rFonts w:ascii="Times New Roman" w:eastAsia="Times New Roman" w:hAnsi="Times New Roman" w:cs="Times New Roman"/>
          <w:i/>
          <w:sz w:val="24"/>
          <w:szCs w:val="24"/>
        </w:rPr>
        <w:t>media percentuale dei valori del ribasso percentuale offerto dai concorrenti;</w:t>
      </w:r>
    </w:p>
    <w:p w14:paraId="512901F9" w14:textId="77777777" w:rsidR="0076366E" w:rsidRPr="009751EC" w:rsidRDefault="00BA3D28" w:rsidP="00BD1359">
      <w:pPr>
        <w:tabs>
          <w:tab w:val="left" w:pos="1425"/>
        </w:tabs>
        <w:spacing w:before="116" w:line="276" w:lineRule="auto"/>
        <w:ind w:left="660"/>
        <w:rPr>
          <w:rFonts w:ascii="Times New Roman" w:eastAsia="Times New Roman" w:hAnsi="Times New Roman" w:cs="Times New Roman"/>
          <w:i/>
          <w:sz w:val="24"/>
          <w:szCs w:val="24"/>
        </w:rPr>
      </w:pPr>
      <w:r w:rsidRPr="009751EC">
        <w:rPr>
          <w:rFonts w:ascii="Times New Roman" w:eastAsia="Times New Roman" w:hAnsi="Times New Roman" w:cs="Times New Roman"/>
          <w:i/>
          <w:sz w:val="24"/>
          <w:szCs w:val="24"/>
        </w:rPr>
        <w:t>X =</w:t>
      </w:r>
      <w:r w:rsidRPr="009751EC">
        <w:rPr>
          <w:rFonts w:ascii="Times New Roman" w:eastAsia="Times New Roman" w:hAnsi="Times New Roman" w:cs="Times New Roman"/>
          <w:i/>
          <w:sz w:val="24"/>
          <w:szCs w:val="24"/>
        </w:rPr>
        <w:tab/>
        <w:t>0,80 oppure 0,85 oppure 0,90 [indicare nei documenti di gara la percentuale applicata];</w:t>
      </w:r>
    </w:p>
    <w:p w14:paraId="6EBE0294" w14:textId="77777777" w:rsidR="009751EC" w:rsidRDefault="00BA3D28" w:rsidP="00BD1359">
      <w:pPr>
        <w:tabs>
          <w:tab w:val="left" w:pos="1425"/>
        </w:tabs>
        <w:spacing w:before="116" w:line="276" w:lineRule="auto"/>
        <w:ind w:left="660"/>
        <w:rPr>
          <w:rFonts w:ascii="Times New Roman" w:eastAsia="Times New Roman" w:hAnsi="Times New Roman" w:cs="Times New Roman"/>
          <w:i/>
          <w:sz w:val="24"/>
          <w:szCs w:val="24"/>
        </w:rPr>
      </w:pPr>
      <w:proofErr w:type="spellStart"/>
      <w:r w:rsidRPr="009751EC">
        <w:rPr>
          <w:rFonts w:ascii="Times New Roman" w:eastAsia="Times New Roman" w:hAnsi="Times New Roman" w:cs="Times New Roman"/>
          <w:i/>
          <w:sz w:val="24"/>
          <w:szCs w:val="24"/>
        </w:rPr>
        <w:t>A</w:t>
      </w:r>
      <w:r w:rsidRPr="009751EC">
        <w:rPr>
          <w:rFonts w:ascii="Times New Roman" w:eastAsia="Times New Roman" w:hAnsi="Times New Roman" w:cs="Times New Roman"/>
          <w:i/>
          <w:sz w:val="24"/>
          <w:szCs w:val="24"/>
          <w:vertAlign w:val="subscript"/>
        </w:rPr>
        <w:t>max</w:t>
      </w:r>
      <w:proofErr w:type="spellEnd"/>
      <w:r w:rsidRPr="009751EC">
        <w:rPr>
          <w:rFonts w:ascii="Times New Roman" w:eastAsia="Times New Roman" w:hAnsi="Times New Roman" w:cs="Times New Roman"/>
          <w:i/>
          <w:sz w:val="24"/>
          <w:szCs w:val="24"/>
          <w:vertAlign w:val="subscript"/>
        </w:rPr>
        <w:t xml:space="preserve">  </w:t>
      </w:r>
      <w:r w:rsidRPr="009751EC">
        <w:rPr>
          <w:rFonts w:ascii="Times New Roman" w:eastAsia="Times New Roman" w:hAnsi="Times New Roman" w:cs="Times New Roman"/>
          <w:i/>
          <w:sz w:val="24"/>
          <w:szCs w:val="24"/>
        </w:rPr>
        <w:t xml:space="preserve">= valore del ribasso più conveniente </w:t>
      </w:r>
    </w:p>
    <w:p w14:paraId="2B5CCD37" w14:textId="1FFE76C2" w:rsidR="0076366E" w:rsidRPr="009751EC" w:rsidRDefault="0076366E" w:rsidP="00BD1359">
      <w:pPr>
        <w:tabs>
          <w:tab w:val="left" w:pos="1425"/>
        </w:tabs>
        <w:spacing w:before="116" w:line="276" w:lineRule="auto"/>
        <w:ind w:left="660"/>
        <w:rPr>
          <w:rFonts w:ascii="Times New Roman" w:eastAsia="Times New Roman" w:hAnsi="Times New Roman" w:cs="Times New Roman"/>
          <w:i/>
          <w:sz w:val="24"/>
          <w:szCs w:val="24"/>
        </w:rPr>
      </w:pPr>
    </w:p>
    <w:p w14:paraId="0C9D2E55" w14:textId="3188E21E"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w:t>
      </w:r>
    </w:p>
    <w:p w14:paraId="00E6A540" w14:textId="4B240F6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Formula “…” [</w:t>
      </w:r>
      <w:r w:rsidRPr="00AF38A8">
        <w:rPr>
          <w:rFonts w:asciiTheme="minorHAnsi" w:eastAsia="Times New Roman" w:hAnsiTheme="minorHAnsi" w:cstheme="minorHAnsi"/>
          <w:i/>
          <w:sz w:val="24"/>
          <w:szCs w:val="24"/>
        </w:rPr>
        <w:t>Riportare la formula non lineare/indipendente prescelta</w:t>
      </w:r>
      <w:r w:rsidRPr="00AF38A8">
        <w:rPr>
          <w:rFonts w:asciiTheme="minorHAnsi" w:eastAsia="Times New Roman" w:hAnsiTheme="minorHAnsi" w:cstheme="minorHAnsi"/>
          <w:sz w:val="24"/>
          <w:szCs w:val="24"/>
        </w:rPr>
        <w:t>].</w:t>
      </w:r>
    </w:p>
    <w:p w14:paraId="2B5E2865"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ECC1E1A"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[In caso di richiesta di riduzione percentuale del tempo contrattuale]</w:t>
      </w:r>
    </w:p>
    <w:p w14:paraId="27ABC881"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È attribuito all’offerta tempo un coefficiente, variabile da zero ad uno, calcolato tramite la ……………… [</w:t>
      </w:r>
      <w:r w:rsidRPr="00AF38A8">
        <w:rPr>
          <w:rFonts w:asciiTheme="minorHAnsi" w:eastAsia="Times New Roman" w:hAnsiTheme="minorHAnsi" w:cstheme="minorHAnsi"/>
          <w:i/>
          <w:sz w:val="24"/>
          <w:szCs w:val="24"/>
        </w:rPr>
        <w:t>selezionare una delle formule sopra indicate</w:t>
      </w:r>
      <w:r w:rsidRPr="00AF38A8">
        <w:rPr>
          <w:rFonts w:asciiTheme="minorHAnsi" w:eastAsia="Times New Roman" w:hAnsiTheme="minorHAnsi" w:cstheme="minorHAnsi"/>
          <w:sz w:val="24"/>
          <w:szCs w:val="24"/>
        </w:rPr>
        <w:t>].</w:t>
      </w:r>
    </w:p>
    <w:p w14:paraId="0437B67D"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86080AC" w14:textId="77777777" w:rsidR="0076366E" w:rsidRPr="00AF38A8" w:rsidRDefault="00BA3D28" w:rsidP="00BD1359">
      <w:pPr>
        <w:pStyle w:val="Titolo1"/>
        <w:numPr>
          <w:ilvl w:val="1"/>
          <w:numId w:val="18"/>
        </w:numPr>
        <w:spacing w:line="276" w:lineRule="auto"/>
        <w:jc w:val="both"/>
        <w:rPr>
          <w:rFonts w:asciiTheme="minorHAnsi" w:eastAsia="Times New Roman" w:hAnsiTheme="minorHAnsi" w:cstheme="minorHAnsi"/>
          <w:sz w:val="24"/>
          <w:szCs w:val="24"/>
        </w:rPr>
      </w:pPr>
      <w:bookmarkStart w:id="181" w:name="_Toc139277054"/>
      <w:bookmarkStart w:id="182" w:name="_Toc140929850"/>
      <w:bookmarkStart w:id="183" w:name="_Toc141027292"/>
      <w:r w:rsidRPr="00AF38A8">
        <w:rPr>
          <w:rFonts w:asciiTheme="minorHAnsi" w:eastAsia="Times New Roman" w:hAnsiTheme="minorHAnsi" w:cstheme="minorHAnsi"/>
          <w:sz w:val="24"/>
          <w:szCs w:val="24"/>
        </w:rPr>
        <w:t>Metodo di calcolo dei punteggi</w:t>
      </w:r>
      <w:bookmarkEnd w:id="181"/>
      <w:bookmarkEnd w:id="182"/>
      <w:bookmarkEnd w:id="183"/>
    </w:p>
    <w:p w14:paraId="59352737" w14:textId="00ED204D"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commissione, terminata l’attribuzione dei coefficienti, procede, in relazione a ciascuna offerta, all’attribuzione dei punteggi per ogni singolo criterio secondo il seguente metodo: ... [</w:t>
      </w:r>
      <w:r w:rsidRPr="00AF38A8">
        <w:rPr>
          <w:rFonts w:asciiTheme="minorHAnsi" w:eastAsia="Times New Roman" w:hAnsiTheme="minorHAnsi" w:cstheme="minorHAnsi"/>
          <w:i/>
          <w:sz w:val="24"/>
          <w:szCs w:val="24"/>
        </w:rPr>
        <w:t xml:space="preserve">indicare, motivando la scelta, uno dei metodi ‐ aggregativo compensatore, </w:t>
      </w:r>
      <w:proofErr w:type="spellStart"/>
      <w:r w:rsidRPr="00AF38A8">
        <w:rPr>
          <w:rFonts w:asciiTheme="minorHAnsi" w:eastAsia="Times New Roman" w:hAnsiTheme="minorHAnsi" w:cstheme="minorHAnsi"/>
          <w:i/>
          <w:sz w:val="24"/>
          <w:szCs w:val="24"/>
        </w:rPr>
        <w:t>Electre</w:t>
      </w:r>
      <w:proofErr w:type="spellEnd"/>
      <w:r w:rsidRPr="00AF38A8">
        <w:rPr>
          <w:rFonts w:asciiTheme="minorHAnsi" w:eastAsia="Times New Roman" w:hAnsiTheme="minorHAnsi" w:cstheme="minorHAnsi"/>
          <w:i/>
          <w:sz w:val="24"/>
          <w:szCs w:val="24"/>
        </w:rPr>
        <w:t xml:space="preserve">, metodo AHP, </w:t>
      </w:r>
      <w:proofErr w:type="spellStart"/>
      <w:r w:rsidRPr="00AF38A8">
        <w:rPr>
          <w:rFonts w:asciiTheme="minorHAnsi" w:eastAsia="Times New Roman" w:hAnsiTheme="minorHAnsi" w:cstheme="minorHAnsi"/>
          <w:i/>
          <w:sz w:val="24"/>
          <w:szCs w:val="24"/>
        </w:rPr>
        <w:t>Topsis</w:t>
      </w:r>
      <w:proofErr w:type="spellEnd"/>
      <w:r w:rsidRPr="00AF38A8">
        <w:rPr>
          <w:rFonts w:asciiTheme="minorHAnsi" w:eastAsia="Times New Roman" w:hAnsiTheme="minorHAnsi" w:cstheme="minorHAnsi"/>
          <w:i/>
          <w:sz w:val="24"/>
          <w:szCs w:val="24"/>
        </w:rPr>
        <w:t xml:space="preserve"> o altri</w:t>
      </w:r>
      <w:r w:rsidRPr="00AF38A8">
        <w:rPr>
          <w:rFonts w:asciiTheme="minorHAnsi" w:eastAsia="Times New Roman" w:hAnsiTheme="minorHAnsi" w:cstheme="minorHAnsi"/>
          <w:sz w:val="24"/>
          <w:szCs w:val="24"/>
        </w:rPr>
        <w:t>].</w:t>
      </w:r>
    </w:p>
    <w:p w14:paraId="672E55ED" w14:textId="73F58D38" w:rsidR="0076366E"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 xml:space="preserve">In caso di scelta del </w:t>
      </w:r>
      <w:r w:rsidRPr="008837FB">
        <w:rPr>
          <w:rFonts w:asciiTheme="minorHAnsi" w:eastAsia="Times New Roman" w:hAnsiTheme="minorHAnsi" w:cstheme="minorHAnsi"/>
          <w:i/>
          <w:sz w:val="24"/>
          <w:szCs w:val="24"/>
        </w:rPr>
        <w:t>metodo aggregativo‐compensatore</w:t>
      </w:r>
      <w:r w:rsidRPr="00AF38A8">
        <w:rPr>
          <w:rFonts w:asciiTheme="minorHAnsi" w:eastAsia="Times New Roman" w:hAnsiTheme="minorHAnsi" w:cstheme="minorHAnsi"/>
          <w:sz w:val="24"/>
          <w:szCs w:val="24"/>
        </w:rPr>
        <w:t>] Il punteggio per il concorrente i-esimo è dato dalla seguente formula:</w:t>
      </w:r>
    </w:p>
    <w:p w14:paraId="2E37838C" w14:textId="22BE6269" w:rsidR="008837FB" w:rsidRDefault="008837FB"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CD213BB" w14:textId="224BF8FA" w:rsidR="008837FB" w:rsidRDefault="008837FB"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52B39DA" w14:textId="77777777" w:rsidR="008837FB" w:rsidRDefault="00000000" w:rsidP="00BD1359">
      <w:pPr>
        <w:spacing w:before="60" w:after="60" w:line="276" w:lineRule="auto"/>
      </w:pPr>
      <m:oMathPara>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nary>
            <m:naryPr>
              <m:chr m:val="∑"/>
              <m:ctrlPr>
                <w:rPr>
                  <w:rFonts w:ascii="Cambria Math" w:hAnsi="Cambria Math"/>
                </w:rPr>
              </m:ctrlPr>
            </m:naryPr>
            <m:sub>
              <m:r>
                <w:rPr>
                  <w:rFonts w:ascii="Cambria Math" w:hAnsi="Cambria Math"/>
                </w:rPr>
                <m:t>x=1</m:t>
              </m: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xi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x</m:t>
                  </m:r>
                </m:sub>
              </m:sSub>
            </m:e>
          </m:nary>
        </m:oMath>
      </m:oMathPara>
    </w:p>
    <w:p w14:paraId="014676DC" w14:textId="77777777" w:rsidR="00117522" w:rsidRDefault="00117522" w:rsidP="00BD1359">
      <w:pPr>
        <w:spacing w:before="30" w:line="276" w:lineRule="auto"/>
        <w:rPr>
          <w:rFonts w:asciiTheme="minorHAnsi" w:eastAsia="Times New Roman" w:hAnsiTheme="minorHAnsi" w:cstheme="minorHAnsi"/>
          <w:i/>
          <w:sz w:val="24"/>
          <w:szCs w:val="24"/>
        </w:rPr>
      </w:pPr>
    </w:p>
    <w:p w14:paraId="265734DE" w14:textId="301A6FF9" w:rsidR="008837FB" w:rsidRPr="00694E06" w:rsidRDefault="008837FB" w:rsidP="00BD1359">
      <w:pPr>
        <w:spacing w:before="30" w:line="276" w:lineRule="auto"/>
        <w:rPr>
          <w:rFonts w:asciiTheme="minorHAnsi" w:eastAsia="Times New Roman" w:hAnsiTheme="minorHAnsi" w:cstheme="minorHAnsi"/>
          <w:i/>
          <w:sz w:val="24"/>
          <w:szCs w:val="24"/>
        </w:rPr>
      </w:pPr>
      <w:r w:rsidRPr="00694E06">
        <w:rPr>
          <w:rFonts w:asciiTheme="minorHAnsi" w:eastAsia="Times New Roman" w:hAnsiTheme="minorHAnsi" w:cstheme="minorHAnsi"/>
          <w:i/>
          <w:sz w:val="24"/>
          <w:szCs w:val="24"/>
        </w:rPr>
        <w:t>dove</w:t>
      </w:r>
    </w:p>
    <w:p w14:paraId="7A93E5DD" w14:textId="77777777" w:rsidR="008837FB" w:rsidRPr="00694E06" w:rsidRDefault="00000000" w:rsidP="00BD1359">
      <w:pPr>
        <w:spacing w:before="60" w:after="60" w:line="276" w:lineRule="auto"/>
        <w:rPr>
          <w:rFonts w:ascii="Times New Roman" w:hAnsi="Times New Roman" w:cs="Times New Roman"/>
          <w:sz w:val="28"/>
        </w:rPr>
      </w:pPr>
      <m:oMath>
        <m:sSub>
          <m:sSubPr>
            <m:ctrlPr>
              <w:rPr>
                <w:rFonts w:ascii="Cambria Math" w:hAnsi="Cambria Math" w:cs="Times New Roman"/>
                <w:sz w:val="28"/>
              </w:rPr>
            </m:ctrlPr>
          </m:sSubPr>
          <m:e>
            <m:r>
              <w:rPr>
                <w:rFonts w:ascii="Cambria Math" w:hAnsi="Cambria Math" w:cs="Times New Roman"/>
                <w:sz w:val="28"/>
              </w:rPr>
              <m:t>P</m:t>
            </m:r>
          </m:e>
          <m:sub>
            <m:r>
              <w:rPr>
                <w:rFonts w:ascii="Cambria Math" w:hAnsi="Cambria Math" w:cs="Times New Roman"/>
                <w:sz w:val="28"/>
              </w:rPr>
              <m:t>i</m:t>
            </m:r>
          </m:sub>
        </m:sSub>
      </m:oMath>
      <w:r w:rsidR="008837FB" w:rsidRPr="00694E06">
        <w:rPr>
          <w:rFonts w:ascii="Times New Roman" w:hAnsi="Times New Roman" w:cs="Times New Roman"/>
          <w:szCs w:val="18"/>
        </w:rPr>
        <w:t xml:space="preserve">= punteggio del concorrente </w:t>
      </w:r>
      <w:r w:rsidR="008837FB" w:rsidRPr="00694E06">
        <w:rPr>
          <w:rFonts w:ascii="Times New Roman" w:hAnsi="Times New Roman" w:cs="Times New Roman"/>
          <w:i/>
          <w:szCs w:val="18"/>
        </w:rPr>
        <w:t>i-esimo</w:t>
      </w:r>
    </w:p>
    <w:p w14:paraId="16E6387D" w14:textId="77777777" w:rsidR="008837FB" w:rsidRPr="00694E06" w:rsidRDefault="00000000" w:rsidP="00BD1359">
      <w:pPr>
        <w:spacing w:before="60" w:after="60" w:line="276" w:lineRule="auto"/>
        <w:rPr>
          <w:rFonts w:ascii="Times New Roman" w:hAnsi="Times New Roman" w:cs="Times New Roman"/>
          <w:sz w:val="28"/>
        </w:rPr>
      </w:pPr>
      <m:oMath>
        <m:sSub>
          <m:sSubPr>
            <m:ctrlPr>
              <w:rPr>
                <w:rFonts w:ascii="Cambria Math" w:hAnsi="Cambria Math" w:cs="Times New Roman"/>
                <w:sz w:val="28"/>
              </w:rPr>
            </m:ctrlPr>
          </m:sSubPr>
          <m:e>
            <m:r>
              <w:rPr>
                <w:rFonts w:ascii="Cambria Math" w:hAnsi="Cambria Math" w:cs="Times New Roman"/>
                <w:sz w:val="28"/>
              </w:rPr>
              <m:t>C</m:t>
            </m:r>
          </m:e>
          <m:sub>
            <m:r>
              <w:rPr>
                <w:rFonts w:ascii="Cambria Math" w:hAnsi="Cambria Math" w:cs="Times New Roman"/>
                <w:sz w:val="28"/>
              </w:rPr>
              <m:t>xi</m:t>
            </m:r>
          </m:sub>
        </m:sSub>
      </m:oMath>
      <w:r w:rsidR="008837FB" w:rsidRPr="00694E06">
        <w:rPr>
          <w:rFonts w:ascii="Times New Roman" w:hAnsi="Times New Roman" w:cs="Times New Roman"/>
          <w:szCs w:val="18"/>
        </w:rPr>
        <w:t xml:space="preserve"> = coefficiente criterio di valutazione X per il concorrente </w:t>
      </w:r>
      <w:r w:rsidR="008837FB" w:rsidRPr="00694E06">
        <w:rPr>
          <w:rFonts w:ascii="Times New Roman" w:hAnsi="Times New Roman" w:cs="Times New Roman"/>
          <w:i/>
          <w:szCs w:val="18"/>
        </w:rPr>
        <w:t>i-esimo</w:t>
      </w:r>
    </w:p>
    <w:p w14:paraId="1911C7CA" w14:textId="77777777" w:rsidR="008837FB" w:rsidRPr="00694E06" w:rsidRDefault="00000000" w:rsidP="00BD1359">
      <w:pPr>
        <w:spacing w:before="60" w:after="60" w:line="276" w:lineRule="auto"/>
        <w:rPr>
          <w:rFonts w:ascii="Times New Roman" w:hAnsi="Times New Roman" w:cs="Times New Roman"/>
          <w:sz w:val="28"/>
        </w:rPr>
      </w:pPr>
      <m:oMath>
        <m:sSub>
          <m:sSubPr>
            <m:ctrlPr>
              <w:rPr>
                <w:rFonts w:ascii="Cambria Math" w:hAnsi="Cambria Math" w:cs="Times New Roman"/>
                <w:sz w:val="28"/>
              </w:rPr>
            </m:ctrlPr>
          </m:sSubPr>
          <m:e>
            <m:r>
              <w:rPr>
                <w:rFonts w:ascii="Cambria Math" w:hAnsi="Cambria Math" w:cs="Times New Roman"/>
                <w:sz w:val="28"/>
              </w:rPr>
              <m:t>P</m:t>
            </m:r>
          </m:e>
          <m:sub>
            <m:r>
              <w:rPr>
                <w:rFonts w:ascii="Cambria Math" w:hAnsi="Cambria Math" w:cs="Times New Roman"/>
                <w:sz w:val="28"/>
              </w:rPr>
              <m:t>x</m:t>
            </m:r>
          </m:sub>
        </m:sSub>
        <m:r>
          <w:rPr>
            <w:rFonts w:ascii="Cambria Math" w:hAnsi="Cambria Math" w:cs="Times New Roman"/>
            <w:sz w:val="28"/>
          </w:rPr>
          <m:t>=</m:t>
        </m:r>
      </m:oMath>
      <w:r w:rsidR="008837FB" w:rsidRPr="00694E06">
        <w:rPr>
          <w:rFonts w:ascii="Times New Roman" w:hAnsi="Times New Roman" w:cs="Times New Roman"/>
          <w:szCs w:val="18"/>
        </w:rPr>
        <w:t xml:space="preserve"> punteggio criterio X</w:t>
      </w:r>
    </w:p>
    <w:p w14:paraId="5A2A4295" w14:textId="77777777" w:rsidR="008837FB" w:rsidRPr="00694E06" w:rsidRDefault="008837FB" w:rsidP="00BD1359">
      <w:pPr>
        <w:spacing w:before="60" w:after="60" w:line="276" w:lineRule="auto"/>
        <w:rPr>
          <w:rFonts w:ascii="Times New Roman" w:hAnsi="Times New Roman" w:cs="Times New Roman"/>
          <w:sz w:val="28"/>
        </w:rPr>
      </w:pPr>
      <w:r w:rsidRPr="00694E06">
        <w:rPr>
          <w:rFonts w:ascii="Times New Roman" w:hAnsi="Times New Roman" w:cs="Times New Roman"/>
          <w:szCs w:val="18"/>
        </w:rPr>
        <w:t>X = 1, 2, …, n [</w:t>
      </w:r>
      <w:r w:rsidRPr="00694E06">
        <w:rPr>
          <w:rFonts w:ascii="Times New Roman" w:hAnsi="Times New Roman" w:cs="Times New Roman"/>
          <w:i/>
          <w:szCs w:val="18"/>
        </w:rPr>
        <w:t>indicare il valore di n, ovvero il numero di criteri di valutazione</w:t>
      </w:r>
      <w:r w:rsidRPr="00694E06">
        <w:rPr>
          <w:rFonts w:ascii="Times New Roman" w:hAnsi="Times New Roman" w:cs="Times New Roman"/>
          <w:szCs w:val="18"/>
        </w:rPr>
        <w:t>]</w:t>
      </w:r>
    </w:p>
    <w:p w14:paraId="62251F36" w14:textId="77777777" w:rsidR="008837FB" w:rsidRPr="00AF38A8" w:rsidRDefault="008837FB"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A3FCB1B" w14:textId="14F4BCA9"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caso di criteri con punteggi tabellari</w:t>
      </w:r>
      <w:r w:rsidRPr="00AF38A8">
        <w:rPr>
          <w:rFonts w:asciiTheme="minorHAnsi" w:eastAsia="Times New Roman" w:hAnsiTheme="minorHAnsi" w:cstheme="minorHAnsi"/>
          <w:sz w:val="24"/>
          <w:szCs w:val="24"/>
        </w:rPr>
        <w:t>] Al risultato della suddetta operazione verranno sommati i punteggi tabellari, già espressi in valore assoluto, ottenuti dall’offerta del singolo concorrente.</w:t>
      </w:r>
    </w:p>
    <w:p w14:paraId="2C5FC864" w14:textId="77777777" w:rsidR="0076366E" w:rsidRPr="00AF38A8" w:rsidRDefault="00BA3D28" w:rsidP="00BD1359">
      <w:pPr>
        <w:tabs>
          <w:tab w:val="left" w:pos="1425"/>
        </w:tabs>
        <w:spacing w:before="115" w:line="276" w:lineRule="auto"/>
        <w:rPr>
          <w:rFonts w:asciiTheme="minorHAnsi" w:eastAsia="Times New Roman" w:hAnsiTheme="minorHAnsi" w:cstheme="minorHAnsi"/>
          <w:b/>
          <w:i/>
          <w:sz w:val="24"/>
          <w:szCs w:val="24"/>
        </w:rPr>
      </w:pPr>
      <w:bookmarkStart w:id="184" w:name="_heading=h.3z7bk57" w:colFirst="0" w:colLast="0"/>
      <w:bookmarkEnd w:id="184"/>
      <w:r w:rsidRPr="00AF38A8">
        <w:rPr>
          <w:rFonts w:asciiTheme="minorHAnsi" w:eastAsia="Times New Roman" w:hAnsiTheme="minorHAnsi" w:cstheme="minorHAnsi"/>
          <w:b/>
          <w:i/>
          <w:sz w:val="24"/>
          <w:szCs w:val="24"/>
        </w:rPr>
        <w:t>[In caso di scelta di un metodo diverso dall’aggregativo compensatore]</w:t>
      </w:r>
    </w:p>
    <w:p w14:paraId="71976849"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punteggio è dato ... [</w:t>
      </w:r>
      <w:r w:rsidRPr="00AF38A8">
        <w:rPr>
          <w:rFonts w:asciiTheme="minorHAnsi" w:eastAsia="Times New Roman" w:hAnsiTheme="minorHAnsi" w:cstheme="minorHAnsi"/>
          <w:i/>
          <w:sz w:val="24"/>
          <w:szCs w:val="24"/>
        </w:rPr>
        <w:t>indicare il metodo di calcolo prescelto e le relative modalità di applicazione</w:t>
      </w:r>
      <w:r w:rsidRPr="00AF38A8">
        <w:rPr>
          <w:rFonts w:asciiTheme="minorHAnsi" w:eastAsia="Times New Roman" w:hAnsiTheme="minorHAnsi" w:cstheme="minorHAnsi"/>
          <w:sz w:val="24"/>
          <w:szCs w:val="24"/>
        </w:rPr>
        <w:t>].</w:t>
      </w:r>
    </w:p>
    <w:p w14:paraId="5888AF0E"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EB093B7"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 I riparametrazione</w:t>
      </w:r>
      <w:r w:rsidRPr="00AF38A8">
        <w:rPr>
          <w:rFonts w:asciiTheme="minorHAnsi" w:eastAsia="Times New Roman" w:hAnsiTheme="minorHAnsi" w:cstheme="minorHAnsi"/>
          <w:sz w:val="24"/>
          <w:szCs w:val="24"/>
        </w:rPr>
        <w:t>] Al fine di non alterare i pesi stabiliti tra i vari criteri, se nel singolo criterio nessun concorrente ottiene il punteggio massimo, tale punteggio viene riparametrato attribuendo all’offerta del concorrente che ha ottenuto il punteggio più alto per il criterio il punteggio massimo previsto e alle offerte degli altri concorrenti un punteggio proporzionale decrescente.</w:t>
      </w:r>
    </w:p>
    <w:p w14:paraId="271F8EFA"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571A689" w14:textId="03CB90C4"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 II riparametrazione</w:t>
      </w:r>
      <w:r w:rsidRPr="00AF38A8">
        <w:rPr>
          <w:rFonts w:asciiTheme="minorHAnsi" w:eastAsia="Times New Roman" w:hAnsiTheme="minorHAnsi" w:cstheme="minorHAnsi"/>
          <w:sz w:val="24"/>
          <w:szCs w:val="24"/>
        </w:rPr>
        <w:t>] Al fine di non alterare i pesi stabiliti tra i vari criteri, se nel punteggio per l’offerta tecnica complessiva nessun concorrente ottiene il punteggio massimo, tale punteggio viene nuovamente riparametrato attribuendo all’offerta del concorrente che ha ottenuto il punteggio complessivo più alto per l’offerta tecnica il punteggio massimo previsto e alle offerte degli altri concorrenti un punteggio proporzionale decrescente.</w:t>
      </w:r>
    </w:p>
    <w:p w14:paraId="540ECC15"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6B81FAA"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85" w:name="_Toc139277055"/>
      <w:bookmarkStart w:id="186" w:name="_Toc140929851"/>
      <w:bookmarkStart w:id="187" w:name="_Toc141027293"/>
      <w:bookmarkEnd w:id="179"/>
      <w:r w:rsidRPr="00AF38A8">
        <w:rPr>
          <w:rFonts w:asciiTheme="minorHAnsi" w:eastAsia="Times New Roman" w:hAnsiTheme="minorHAnsi" w:cstheme="minorHAnsi"/>
          <w:sz w:val="24"/>
          <w:szCs w:val="24"/>
        </w:rPr>
        <w:t>Commissione giudicatrice</w:t>
      </w:r>
      <w:bookmarkEnd w:id="185"/>
      <w:bookmarkEnd w:id="186"/>
      <w:bookmarkEnd w:id="187"/>
    </w:p>
    <w:p w14:paraId="70A39505" w14:textId="5DB26FCE"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commissione giudicatrice è nominata dopo la scadenza del termine per la presentazione delle offerte ed è composta da un numero dispari pari a n. [</w:t>
      </w:r>
      <w:r w:rsidRPr="00AF38A8">
        <w:rPr>
          <w:rFonts w:asciiTheme="minorHAnsi" w:eastAsia="Times New Roman" w:hAnsiTheme="minorHAnsi" w:cstheme="minorHAnsi"/>
          <w:i/>
          <w:sz w:val="24"/>
          <w:szCs w:val="24"/>
        </w:rPr>
        <w:t>min. 3 max 5</w:t>
      </w:r>
      <w:r w:rsidRPr="00AF38A8">
        <w:rPr>
          <w:rFonts w:asciiTheme="minorHAnsi" w:eastAsia="Times New Roman" w:hAnsiTheme="minorHAnsi" w:cstheme="minorHAnsi"/>
          <w:sz w:val="24"/>
          <w:szCs w:val="24"/>
        </w:rPr>
        <w:t>] membri, esperti nello specifico settore cui si riferisce l’oggetto del contratto. In capo ai commissari non devono sussistere cause ostative alla nomina ai sensi dell’articolo 93</w:t>
      </w:r>
      <w:r w:rsidR="00420586">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5</w:t>
      </w:r>
      <w:r w:rsidR="00420586">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Codice. A tal fine viene richiesta, prima del conferimento dell’incarico, apposita dichiarazione.</w:t>
      </w:r>
      <w:r w:rsidR="009E6219" w:rsidRPr="00AF38A8">
        <w:rPr>
          <w:rFonts w:asciiTheme="minorHAnsi" w:eastAsia="Times New Roman" w:hAnsiTheme="minorHAnsi" w:cstheme="minorHAnsi"/>
          <w:sz w:val="24"/>
          <w:szCs w:val="24"/>
        </w:rPr>
        <w:t xml:space="preserve"> </w:t>
      </w:r>
      <w:r w:rsidR="00DE2A9B" w:rsidRPr="00AF38A8">
        <w:rPr>
          <w:rFonts w:asciiTheme="minorHAnsi" w:eastAsia="Times New Roman" w:hAnsiTheme="minorHAnsi" w:cstheme="minorHAnsi"/>
          <w:sz w:val="24"/>
          <w:szCs w:val="24"/>
        </w:rPr>
        <w:t>Ai sensi dell’art</w:t>
      </w:r>
      <w:r w:rsidR="00420586">
        <w:rPr>
          <w:rFonts w:asciiTheme="minorHAnsi" w:eastAsia="Times New Roman" w:hAnsiTheme="minorHAnsi" w:cstheme="minorHAnsi"/>
          <w:sz w:val="24"/>
          <w:szCs w:val="24"/>
        </w:rPr>
        <w:t>icolo</w:t>
      </w:r>
      <w:r w:rsidR="00DE2A9B" w:rsidRPr="00AF38A8">
        <w:rPr>
          <w:rFonts w:asciiTheme="minorHAnsi" w:eastAsia="Times New Roman" w:hAnsiTheme="minorHAnsi" w:cstheme="minorHAnsi"/>
          <w:sz w:val="24"/>
          <w:szCs w:val="24"/>
        </w:rPr>
        <w:t xml:space="preserve"> 51 del Codice, d</w:t>
      </w:r>
      <w:r w:rsidR="00B050C8" w:rsidRPr="00AF38A8">
        <w:rPr>
          <w:rFonts w:asciiTheme="minorHAnsi" w:eastAsia="Times New Roman" w:hAnsiTheme="minorHAnsi" w:cstheme="minorHAnsi"/>
          <w:sz w:val="24"/>
          <w:szCs w:val="24"/>
        </w:rPr>
        <w:t>ella commissione giudicatrice può far parte il RUP</w:t>
      </w:r>
      <w:r w:rsidR="00DE2A9B" w:rsidRPr="00AF38A8">
        <w:rPr>
          <w:rFonts w:asciiTheme="minorHAnsi" w:eastAsia="Times New Roman" w:hAnsiTheme="minorHAnsi" w:cstheme="minorHAnsi"/>
          <w:sz w:val="24"/>
          <w:szCs w:val="24"/>
        </w:rPr>
        <w:t xml:space="preserve"> anche in qualità di Presidente.</w:t>
      </w:r>
      <w:r w:rsidR="009E6219" w:rsidRPr="00AF38A8">
        <w:rPr>
          <w:rFonts w:asciiTheme="minorHAnsi" w:eastAsia="Times New Roman" w:hAnsiTheme="minorHAnsi" w:cstheme="minorHAnsi"/>
          <w:sz w:val="24"/>
          <w:szCs w:val="24"/>
        </w:rPr>
        <w:t xml:space="preserve"> Per tutto quanto non previsto dal presente articolo si rinvia alle disposizioni di cui all’art. 93 del Codice.</w:t>
      </w:r>
    </w:p>
    <w:p w14:paraId="422E8FC0"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D932150" w14:textId="364E21E3" w:rsidR="0076366E" w:rsidRPr="00DE3951"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88" w:name="bookmark=id.34g0dwd" w:colFirst="0" w:colLast="0"/>
      <w:bookmarkStart w:id="189" w:name="_Toc139277056"/>
      <w:bookmarkStart w:id="190" w:name="_Toc140929852"/>
      <w:bookmarkStart w:id="191" w:name="_Toc141027294"/>
      <w:bookmarkEnd w:id="188"/>
      <w:r w:rsidRPr="00AF38A8">
        <w:rPr>
          <w:rFonts w:asciiTheme="minorHAnsi" w:eastAsia="Times New Roman" w:hAnsiTheme="minorHAnsi" w:cstheme="minorHAnsi"/>
          <w:sz w:val="24"/>
          <w:szCs w:val="24"/>
        </w:rPr>
        <w:t>Svolgimento delle operazioni di gara</w:t>
      </w:r>
      <w:bookmarkEnd w:id="189"/>
      <w:bookmarkEnd w:id="190"/>
      <w:bookmarkEnd w:id="191"/>
    </w:p>
    <w:p w14:paraId="023114DC" w14:textId="77777777" w:rsidR="00DE3951" w:rsidRPr="00DE3951" w:rsidRDefault="00DE3951" w:rsidP="00BD1359">
      <w:pPr>
        <w:spacing w:before="60" w:after="60" w:line="276" w:lineRule="auto"/>
        <w:rPr>
          <w:rFonts w:asciiTheme="minorHAnsi" w:hAnsiTheme="minorHAnsi" w:cstheme="minorHAnsi"/>
          <w:sz w:val="24"/>
          <w:szCs w:val="24"/>
        </w:rPr>
      </w:pPr>
      <w:r w:rsidRPr="00DE3951">
        <w:rPr>
          <w:rFonts w:asciiTheme="minorHAnsi" w:hAnsiTheme="minorHAnsi" w:cstheme="minorHAnsi"/>
          <w:sz w:val="24"/>
          <w:szCs w:val="24"/>
        </w:rPr>
        <w:t xml:space="preserve">La prima sessione ha luogo il giorno … </w:t>
      </w:r>
      <w:r w:rsidRPr="00DE3951">
        <w:rPr>
          <w:rFonts w:asciiTheme="minorHAnsi" w:hAnsiTheme="minorHAnsi" w:cstheme="minorHAnsi"/>
          <w:i/>
          <w:sz w:val="24"/>
          <w:szCs w:val="24"/>
        </w:rPr>
        <w:t>[indicare il giorno]</w:t>
      </w:r>
      <w:r w:rsidRPr="00DE3951">
        <w:rPr>
          <w:rFonts w:asciiTheme="minorHAnsi" w:hAnsiTheme="minorHAnsi" w:cstheme="minorHAnsi"/>
          <w:sz w:val="24"/>
          <w:szCs w:val="24"/>
        </w:rPr>
        <w:t xml:space="preserve">, alle ore … </w:t>
      </w:r>
      <w:r w:rsidRPr="00DE3951">
        <w:rPr>
          <w:rFonts w:asciiTheme="minorHAnsi" w:hAnsiTheme="minorHAnsi" w:cstheme="minorHAnsi"/>
          <w:i/>
          <w:sz w:val="24"/>
          <w:szCs w:val="24"/>
        </w:rPr>
        <w:t>[indicare l’ora]</w:t>
      </w:r>
      <w:r w:rsidRPr="00DE3951">
        <w:rPr>
          <w:rFonts w:asciiTheme="minorHAnsi" w:hAnsiTheme="minorHAnsi" w:cstheme="minorHAnsi"/>
          <w:sz w:val="24"/>
          <w:szCs w:val="24"/>
        </w:rPr>
        <w:t>.</w:t>
      </w:r>
    </w:p>
    <w:p w14:paraId="2FF9DD1E" w14:textId="77777777" w:rsidR="00DE3951" w:rsidRPr="00DE3951" w:rsidRDefault="00DE3951" w:rsidP="00BD1359">
      <w:pPr>
        <w:spacing w:before="60" w:after="60" w:line="276" w:lineRule="auto"/>
        <w:rPr>
          <w:rFonts w:asciiTheme="minorHAnsi" w:hAnsiTheme="minorHAnsi" w:cstheme="minorHAnsi"/>
          <w:sz w:val="24"/>
          <w:szCs w:val="24"/>
        </w:rPr>
      </w:pPr>
      <w:r w:rsidRPr="00DE3951">
        <w:rPr>
          <w:rFonts w:asciiTheme="minorHAnsi" w:hAnsiTheme="minorHAnsi" w:cstheme="minorHAnsi"/>
          <w:sz w:val="24"/>
          <w:szCs w:val="24"/>
        </w:rPr>
        <w:t>La Piattaforma consente lo svolgimento delle sessioni di gara preordinate all’esame:</w:t>
      </w:r>
    </w:p>
    <w:p w14:paraId="1FA48D49" w14:textId="77777777" w:rsidR="00DE3951" w:rsidRPr="00DE3951" w:rsidRDefault="00DE3951" w:rsidP="00BD1359">
      <w:pPr>
        <w:spacing w:before="60" w:after="60" w:line="276" w:lineRule="auto"/>
        <w:rPr>
          <w:rFonts w:asciiTheme="minorHAnsi" w:hAnsiTheme="minorHAnsi" w:cstheme="minorHAnsi"/>
          <w:sz w:val="24"/>
          <w:szCs w:val="24"/>
        </w:rPr>
      </w:pPr>
      <w:r w:rsidRPr="00DE3951">
        <w:rPr>
          <w:rFonts w:asciiTheme="minorHAnsi" w:hAnsiTheme="minorHAnsi" w:cstheme="minorHAnsi"/>
          <w:sz w:val="24"/>
          <w:szCs w:val="24"/>
        </w:rPr>
        <w:t>•</w:t>
      </w:r>
      <w:r w:rsidRPr="00DE3951">
        <w:rPr>
          <w:rFonts w:asciiTheme="minorHAnsi" w:hAnsiTheme="minorHAnsi" w:cstheme="minorHAnsi"/>
          <w:sz w:val="24"/>
          <w:szCs w:val="24"/>
        </w:rPr>
        <w:tab/>
        <w:t>della documentazione amministrativa;</w:t>
      </w:r>
    </w:p>
    <w:p w14:paraId="06CCFBA5" w14:textId="77777777" w:rsidR="00DE3951" w:rsidRPr="00DE3951" w:rsidRDefault="00DE3951" w:rsidP="00BD1359">
      <w:pPr>
        <w:spacing w:before="60" w:after="60" w:line="276" w:lineRule="auto"/>
        <w:rPr>
          <w:rFonts w:asciiTheme="minorHAnsi" w:hAnsiTheme="minorHAnsi" w:cstheme="minorHAnsi"/>
          <w:sz w:val="24"/>
          <w:szCs w:val="24"/>
        </w:rPr>
      </w:pPr>
      <w:r w:rsidRPr="00DE3951">
        <w:rPr>
          <w:rFonts w:asciiTheme="minorHAnsi" w:hAnsiTheme="minorHAnsi" w:cstheme="minorHAnsi"/>
          <w:sz w:val="24"/>
          <w:szCs w:val="24"/>
        </w:rPr>
        <w:t>•</w:t>
      </w:r>
      <w:r w:rsidRPr="00DE3951">
        <w:rPr>
          <w:rFonts w:asciiTheme="minorHAnsi" w:hAnsiTheme="minorHAnsi" w:cstheme="minorHAnsi"/>
          <w:sz w:val="24"/>
          <w:szCs w:val="24"/>
        </w:rPr>
        <w:tab/>
        <w:t>delle offerte tecniche;</w:t>
      </w:r>
    </w:p>
    <w:p w14:paraId="00DE9F6B" w14:textId="77777777" w:rsidR="00DE3951" w:rsidRPr="00DE3951" w:rsidRDefault="00DE3951" w:rsidP="00BD1359">
      <w:pPr>
        <w:spacing w:before="60" w:after="60" w:line="276" w:lineRule="auto"/>
        <w:rPr>
          <w:rFonts w:asciiTheme="minorHAnsi" w:hAnsiTheme="minorHAnsi" w:cstheme="minorHAnsi"/>
          <w:sz w:val="24"/>
          <w:szCs w:val="24"/>
        </w:rPr>
      </w:pPr>
      <w:r w:rsidRPr="00DE3951">
        <w:rPr>
          <w:rFonts w:asciiTheme="minorHAnsi" w:hAnsiTheme="minorHAnsi" w:cstheme="minorHAnsi"/>
          <w:sz w:val="24"/>
          <w:szCs w:val="24"/>
        </w:rPr>
        <w:t>•</w:t>
      </w:r>
      <w:r w:rsidRPr="00DE3951">
        <w:rPr>
          <w:rFonts w:asciiTheme="minorHAnsi" w:hAnsiTheme="minorHAnsi" w:cstheme="minorHAnsi"/>
          <w:sz w:val="24"/>
          <w:szCs w:val="24"/>
        </w:rPr>
        <w:tab/>
        <w:t>delle offerte economiche.</w:t>
      </w:r>
    </w:p>
    <w:p w14:paraId="7796815E" w14:textId="77777777" w:rsidR="00DE3951" w:rsidRPr="00DE3951" w:rsidRDefault="00DE3951"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DE3951">
        <w:rPr>
          <w:rFonts w:asciiTheme="minorHAnsi" w:eastAsia="Times New Roman" w:hAnsiTheme="minorHAnsi" w:cstheme="minorHAnsi"/>
          <w:sz w:val="24"/>
          <w:szCs w:val="24"/>
        </w:rPr>
        <w:t xml:space="preserve">La piattaforma garantisce il rispetto delle disposizioni del codice in materia di riservatezza delle </w:t>
      </w:r>
      <w:r w:rsidRPr="00DE3951">
        <w:rPr>
          <w:rFonts w:asciiTheme="minorHAnsi" w:eastAsia="Times New Roman" w:hAnsiTheme="minorHAnsi" w:cstheme="minorHAnsi"/>
          <w:sz w:val="24"/>
          <w:szCs w:val="24"/>
        </w:rPr>
        <w:lastRenderedPageBreak/>
        <w:t>operazioni e delle informazioni relative alla procedura di gara, nonché il rispetto dei principi di trasparenza.</w:t>
      </w:r>
    </w:p>
    <w:p w14:paraId="0674C840"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932E52A"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92" w:name="bookmark=id.43ky6rz" w:colFirst="0" w:colLast="0"/>
      <w:bookmarkStart w:id="193" w:name="_Toc139277057"/>
      <w:bookmarkStart w:id="194" w:name="_Toc140929853"/>
      <w:bookmarkStart w:id="195" w:name="_Toc141027295"/>
      <w:bookmarkEnd w:id="192"/>
      <w:r w:rsidRPr="00AF38A8">
        <w:rPr>
          <w:rFonts w:asciiTheme="minorHAnsi" w:eastAsia="Times New Roman" w:hAnsiTheme="minorHAnsi" w:cstheme="minorHAnsi"/>
          <w:sz w:val="24"/>
          <w:szCs w:val="24"/>
        </w:rPr>
        <w:t>Verifica documentazione amministrativa</w:t>
      </w:r>
      <w:bookmarkEnd w:id="193"/>
      <w:bookmarkEnd w:id="194"/>
      <w:bookmarkEnd w:id="195"/>
    </w:p>
    <w:p w14:paraId="2F0594B4"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96" w:name="_Hlk139909318"/>
      <w:r w:rsidRPr="00AF38A8">
        <w:rPr>
          <w:rFonts w:asciiTheme="minorHAnsi" w:eastAsia="Times New Roman" w:hAnsiTheme="minorHAnsi" w:cstheme="minorHAnsi"/>
          <w:sz w:val="24"/>
          <w:szCs w:val="24"/>
        </w:rPr>
        <w:t xml:space="preserve">Il/la … [scegliere tra RUP, responsabile di fase, apposito ufficio o servizio a ciò deputato, sulla base delle disposizioni organizzative proprie della stazione appaltante] accede alla documentazione amministrativa di ciascun concorrente, mentre l’offerta tecnica e l’offerta economica restano, </w:t>
      </w:r>
      <w:bookmarkStart w:id="197" w:name="_Hlk139909342"/>
      <w:r w:rsidRPr="00AF38A8">
        <w:rPr>
          <w:rFonts w:asciiTheme="minorHAnsi" w:eastAsia="Times New Roman" w:hAnsiTheme="minorHAnsi" w:cstheme="minorHAnsi"/>
          <w:sz w:val="24"/>
          <w:szCs w:val="24"/>
        </w:rPr>
        <w:t xml:space="preserve">chiuse, segrete e bloccate dal sistema, e procede a: </w:t>
      </w:r>
    </w:p>
    <w:bookmarkEnd w:id="196"/>
    <w:p w14:paraId="04269489" w14:textId="77777777" w:rsidR="0076366E" w:rsidRPr="00AF38A8" w:rsidRDefault="00BA3D28" w:rsidP="00BD1359">
      <w:pPr>
        <w:numPr>
          <w:ilvl w:val="0"/>
          <w:numId w:val="1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controllare la completezza della documentazione amministrativa presentata;</w:t>
      </w:r>
    </w:p>
    <w:p w14:paraId="571D08C3" w14:textId="7961D145" w:rsidR="0076366E" w:rsidRPr="00AF38A8" w:rsidRDefault="00BA3D28" w:rsidP="00BD1359">
      <w:pPr>
        <w:numPr>
          <w:ilvl w:val="0"/>
          <w:numId w:val="1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verificare la conformità della documentazione amministrativa a quanto richiesto </w:t>
      </w:r>
      <w:r w:rsidR="00212C16">
        <w:rPr>
          <w:rFonts w:asciiTheme="minorHAnsi" w:eastAsia="Times New Roman" w:hAnsiTheme="minorHAnsi" w:cstheme="minorHAnsi"/>
          <w:sz w:val="24"/>
          <w:szCs w:val="24"/>
        </w:rPr>
        <w:t>nella presente lettera di invito</w:t>
      </w:r>
      <w:r w:rsidRPr="00AF38A8">
        <w:rPr>
          <w:rFonts w:asciiTheme="minorHAnsi" w:eastAsia="Times New Roman" w:hAnsiTheme="minorHAnsi" w:cstheme="minorHAnsi"/>
          <w:sz w:val="24"/>
          <w:szCs w:val="24"/>
        </w:rPr>
        <w:t>;</w:t>
      </w:r>
    </w:p>
    <w:p w14:paraId="0FE5F523" w14:textId="77777777" w:rsidR="0076366E" w:rsidRPr="00AF38A8" w:rsidRDefault="00BA3D28" w:rsidP="00BD1359">
      <w:pPr>
        <w:numPr>
          <w:ilvl w:val="0"/>
          <w:numId w:val="1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attivare la procedura di soccorso istruttorio di cui al precedente punto 14. </w:t>
      </w:r>
    </w:p>
    <w:p w14:paraId="03FA0075"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Gli eventuali provvedimenti di esclusione dalla procedura di gara sono comunicati entro cinque giorni dalla loro adozione. </w:t>
      </w:r>
    </w:p>
    <w:p w14:paraId="7DC1B18D" w14:textId="2809ED21" w:rsidR="00DE3951"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È fatta salva la possibilità di chiedere agli offerenti, in qualsiasi momento nel corso della procedura, di presentare tutti i documenti complementari o parte di essi, qualora questo sia necessario per assicurare il corretto svolgimento della procedura.</w:t>
      </w:r>
    </w:p>
    <w:bookmarkEnd w:id="197"/>
    <w:p w14:paraId="22DDE1FF"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59E6903" w14:textId="0B30C7E0" w:rsidR="00CE7054" w:rsidRPr="00A86D96"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198" w:name="bookmark=id.xvir7l" w:colFirst="0" w:colLast="0"/>
      <w:bookmarkStart w:id="199" w:name="_Toc139277058"/>
      <w:bookmarkStart w:id="200" w:name="_Toc140929854"/>
      <w:bookmarkStart w:id="201" w:name="_Toc141027296"/>
      <w:bookmarkEnd w:id="198"/>
      <w:r w:rsidRPr="00AF38A8">
        <w:rPr>
          <w:rFonts w:asciiTheme="minorHAnsi" w:eastAsia="Times New Roman" w:hAnsiTheme="minorHAnsi" w:cstheme="minorHAnsi"/>
          <w:sz w:val="24"/>
          <w:szCs w:val="24"/>
        </w:rPr>
        <w:t>Valutazione delle offerte tecniche ed economiche</w:t>
      </w:r>
      <w:bookmarkEnd w:id="199"/>
      <w:bookmarkEnd w:id="200"/>
      <w:bookmarkEnd w:id="201"/>
    </w:p>
    <w:p w14:paraId="0B53E47E" w14:textId="77777777" w:rsidR="00492B3A" w:rsidRPr="00492B3A" w:rsidRDefault="00492B3A" w:rsidP="00BD1359">
      <w:pPr>
        <w:spacing w:before="60" w:after="60" w:line="276" w:lineRule="auto"/>
        <w:jc w:val="both"/>
        <w:rPr>
          <w:rFonts w:asciiTheme="minorHAnsi" w:hAnsiTheme="minorHAnsi" w:cstheme="minorHAnsi"/>
          <w:sz w:val="24"/>
          <w:szCs w:val="24"/>
        </w:rPr>
      </w:pPr>
      <w:r w:rsidRPr="00492B3A">
        <w:rPr>
          <w:rFonts w:asciiTheme="minorHAnsi" w:hAnsiTheme="minorHAnsi" w:cstheme="minorHAnsi"/>
          <w:sz w:val="24"/>
          <w:szCs w:val="24"/>
        </w:rPr>
        <w:t xml:space="preserve">La data e l’ora in cui si procede all’apertura delle offerte tecniche </w:t>
      </w:r>
      <w:r w:rsidRPr="00492B3A">
        <w:rPr>
          <w:rFonts w:asciiTheme="minorHAnsi" w:hAnsiTheme="minorHAnsi" w:cstheme="minorHAnsi"/>
          <w:i/>
          <w:sz w:val="24"/>
          <w:szCs w:val="24"/>
        </w:rPr>
        <w:t xml:space="preserve">[nel caso di gara a più lotti: relativamente a ciascun singolo lotto] </w:t>
      </w:r>
      <w:r w:rsidRPr="00492B3A">
        <w:rPr>
          <w:rFonts w:asciiTheme="minorHAnsi" w:hAnsiTheme="minorHAnsi" w:cstheme="minorHAnsi"/>
          <w:sz w:val="24"/>
          <w:szCs w:val="24"/>
        </w:rPr>
        <w:t>sono comunicate tramite la Piattaforma ai concorrenti ammessi alla presente fase di gara.</w:t>
      </w:r>
    </w:p>
    <w:p w14:paraId="2C717790" w14:textId="7D89BB68" w:rsidR="00492B3A" w:rsidRPr="00492B3A" w:rsidRDefault="00492B3A" w:rsidP="00BD1359">
      <w:pPr>
        <w:spacing w:before="60" w:after="60" w:line="276" w:lineRule="auto"/>
        <w:jc w:val="both"/>
        <w:rPr>
          <w:rFonts w:asciiTheme="minorHAnsi" w:hAnsiTheme="minorHAnsi" w:cstheme="minorHAnsi"/>
          <w:sz w:val="24"/>
          <w:szCs w:val="24"/>
        </w:rPr>
      </w:pPr>
      <w:r w:rsidRPr="00492B3A">
        <w:rPr>
          <w:rFonts w:asciiTheme="minorHAnsi" w:hAnsiTheme="minorHAnsi" w:cstheme="minorHAnsi"/>
          <w:i/>
          <w:sz w:val="24"/>
          <w:szCs w:val="24"/>
        </w:rPr>
        <w:t>[Scegliere tra il RUP e la</w:t>
      </w:r>
      <w:r w:rsidRPr="00492B3A">
        <w:rPr>
          <w:rFonts w:asciiTheme="minorHAnsi" w:hAnsiTheme="minorHAnsi" w:cstheme="minorHAnsi"/>
          <w:sz w:val="24"/>
          <w:szCs w:val="24"/>
        </w:rPr>
        <w:t xml:space="preserve"> commissione giudicatrice] … procede </w:t>
      </w:r>
      <w:r w:rsidRPr="00492B3A">
        <w:rPr>
          <w:rFonts w:asciiTheme="minorHAnsi" w:hAnsiTheme="minorHAnsi" w:cstheme="minorHAnsi"/>
          <w:i/>
          <w:sz w:val="24"/>
          <w:szCs w:val="24"/>
        </w:rPr>
        <w:t>[nel caso di gara a più lotti: relativamente a ciascun singolo lotto]</w:t>
      </w:r>
      <w:r w:rsidRPr="00492B3A">
        <w:rPr>
          <w:rFonts w:asciiTheme="minorHAnsi" w:hAnsiTheme="minorHAnsi" w:cstheme="minorHAnsi"/>
          <w:sz w:val="24"/>
          <w:szCs w:val="24"/>
        </w:rPr>
        <w:t xml:space="preserve"> all’apertura delle offerte presentate.  La commissione giudicatrice procede all’esame e valutazione delle offerte presentate dai concorrenti e all’assegnazione dei relativi punteggi applicando i criteri e le formule indicati </w:t>
      </w:r>
      <w:r>
        <w:rPr>
          <w:rFonts w:asciiTheme="minorHAnsi" w:hAnsiTheme="minorHAnsi" w:cstheme="minorHAnsi"/>
          <w:sz w:val="24"/>
          <w:szCs w:val="24"/>
        </w:rPr>
        <w:t>nella presente lettera di invito</w:t>
      </w:r>
      <w:r w:rsidRPr="00492B3A">
        <w:rPr>
          <w:rFonts w:asciiTheme="minorHAnsi" w:hAnsiTheme="minorHAnsi" w:cstheme="minorHAnsi"/>
          <w:sz w:val="24"/>
          <w:szCs w:val="24"/>
        </w:rPr>
        <w:t>. Gli esiti della valutazione sono registrati dalla Piattaforma.</w:t>
      </w:r>
    </w:p>
    <w:p w14:paraId="24FAAE77" w14:textId="77777777" w:rsidR="00CE7054" w:rsidRPr="00AF38A8" w:rsidRDefault="00CE7054"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3B80597" w14:textId="1AB6119B"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 in caso riparametrazione</w:t>
      </w:r>
      <w:r w:rsidRPr="00AF38A8">
        <w:rPr>
          <w:rFonts w:asciiTheme="minorHAnsi" w:eastAsia="Times New Roman" w:hAnsiTheme="minorHAnsi" w:cstheme="minorHAnsi"/>
          <w:sz w:val="24"/>
          <w:szCs w:val="24"/>
        </w:rPr>
        <w:t xml:space="preserve">] La commissione procede alla riparametrazione dei punteggi secondo quanto indicato al punto </w:t>
      </w:r>
      <w:hyperlink w:anchor="_heading=h.3im3ia3">
        <w:r w:rsidRPr="00AF38A8">
          <w:rPr>
            <w:rFonts w:asciiTheme="minorHAnsi" w:eastAsia="Times New Roman" w:hAnsiTheme="minorHAnsi" w:cstheme="minorHAnsi"/>
            <w:sz w:val="24"/>
            <w:szCs w:val="24"/>
          </w:rPr>
          <w:t>18.4.</w:t>
        </w:r>
      </w:hyperlink>
    </w:p>
    <w:p w14:paraId="55BB4579" w14:textId="55CE27F9"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La commissione giudicatrice rende visibile ai concorrenti, con le modalità di cui all’articolo </w:t>
      </w:r>
      <w:hyperlink w:anchor="_heading=h.1jlao46">
        <w:r w:rsidRPr="00AF38A8">
          <w:rPr>
            <w:rFonts w:asciiTheme="minorHAnsi" w:eastAsia="Times New Roman" w:hAnsiTheme="minorHAnsi" w:cstheme="minorHAnsi"/>
            <w:sz w:val="24"/>
            <w:szCs w:val="24"/>
          </w:rPr>
          <w:t>20:</w:t>
        </w:r>
      </w:hyperlink>
    </w:p>
    <w:p w14:paraId="0C652813" w14:textId="378E7692" w:rsidR="0076366E" w:rsidRPr="00AF38A8" w:rsidRDefault="00BA3D28" w:rsidP="00BD1359">
      <w:pPr>
        <w:pStyle w:val="Paragrafoelenco"/>
        <w:numPr>
          <w:ilvl w:val="0"/>
          <w:numId w:val="2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punteggi tecnici attribuiti alle singole offerte tecniche;</w:t>
      </w:r>
    </w:p>
    <w:p w14:paraId="1FBF10B5" w14:textId="6F67A371" w:rsidR="0076366E" w:rsidRPr="00AF38A8" w:rsidRDefault="00BA3D28" w:rsidP="00BD1359">
      <w:pPr>
        <w:pStyle w:val="Paragrafoelenco"/>
        <w:numPr>
          <w:ilvl w:val="0"/>
          <w:numId w:val="2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eventuali esclusioni dalla gara dei concorrenti.</w:t>
      </w:r>
    </w:p>
    <w:p w14:paraId="7FF0C53E"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Al termine delle operazioni di cui sopra la Piattaforma consente la prosecuzione della procedura ai soli concorrenti ammessi alla valutazione delle offerte economiche.</w:t>
      </w:r>
    </w:p>
    <w:p w14:paraId="52CBE564" w14:textId="25E64BE2"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commissione giudicatrice procede [</w:t>
      </w:r>
      <w:r w:rsidRPr="00AF38A8">
        <w:rPr>
          <w:rFonts w:asciiTheme="minorHAnsi" w:eastAsia="Times New Roman" w:hAnsiTheme="minorHAnsi" w:cstheme="minorHAnsi"/>
          <w:i/>
          <w:sz w:val="24"/>
          <w:szCs w:val="24"/>
        </w:rPr>
        <w:t>nel caso di gara a più lotti: relativamente a ciascun singolo lotto</w:t>
      </w:r>
      <w:r w:rsidRPr="00AF38A8">
        <w:rPr>
          <w:rFonts w:asciiTheme="minorHAnsi" w:eastAsia="Times New Roman" w:hAnsiTheme="minorHAnsi" w:cstheme="minorHAnsi"/>
          <w:sz w:val="24"/>
          <w:szCs w:val="24"/>
        </w:rPr>
        <w:t>] all’apertura e alla valutazione delle offerte economiche [</w:t>
      </w:r>
      <w:r w:rsidRPr="00AF38A8">
        <w:rPr>
          <w:rFonts w:asciiTheme="minorHAnsi" w:eastAsia="Times New Roman" w:hAnsiTheme="minorHAnsi" w:cstheme="minorHAnsi"/>
          <w:i/>
          <w:sz w:val="24"/>
          <w:szCs w:val="24"/>
        </w:rPr>
        <w:t>e dell’offerta tempo</w:t>
      </w:r>
      <w:r w:rsidRPr="00AF38A8">
        <w:rPr>
          <w:rFonts w:asciiTheme="minorHAnsi" w:eastAsia="Times New Roman" w:hAnsiTheme="minorHAnsi" w:cstheme="minorHAnsi"/>
          <w:sz w:val="24"/>
          <w:szCs w:val="24"/>
        </w:rPr>
        <w:t xml:space="preserve">], secondo i criteri e le modalità descritte </w:t>
      </w:r>
      <w:r w:rsidR="00DE2A9B" w:rsidRPr="00AF38A8">
        <w:rPr>
          <w:rFonts w:asciiTheme="minorHAnsi" w:eastAsia="Times New Roman" w:hAnsiTheme="minorHAnsi" w:cstheme="minorHAnsi"/>
          <w:sz w:val="24"/>
          <w:szCs w:val="24"/>
        </w:rPr>
        <w:t>nel</w:t>
      </w:r>
      <w:r w:rsidR="009E6219" w:rsidRPr="00AF38A8">
        <w:rPr>
          <w:rFonts w:asciiTheme="minorHAnsi" w:eastAsia="Times New Roman" w:hAnsiTheme="minorHAnsi" w:cstheme="minorHAnsi"/>
          <w:sz w:val="24"/>
          <w:szCs w:val="24"/>
        </w:rPr>
        <w:t>la lettera di invito</w:t>
      </w:r>
      <w:r w:rsidRPr="00AF38A8">
        <w:rPr>
          <w:rFonts w:asciiTheme="minorHAnsi" w:eastAsia="Times New Roman" w:hAnsiTheme="minorHAnsi" w:cstheme="minorHAnsi"/>
          <w:sz w:val="24"/>
          <w:szCs w:val="24"/>
        </w:rPr>
        <w:t xml:space="preserve"> e, successivamente, all’individuazione dell’unico parametro numerico finale per la formulazione della graduatoria.</w:t>
      </w:r>
    </w:p>
    <w:p w14:paraId="732C0F8E"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Nel caso in cui le offerte di due o più concorrenti ottengano lo stesso punteggio complessivo, ma punteggi differenti per il prezzo e per tutti gli altri elementi di valutazione, è collocato primo in graduatoria il concorrente che ha ottenuto il miglior punteggio sul … [</w:t>
      </w:r>
      <w:r w:rsidRPr="00AF38A8">
        <w:rPr>
          <w:rFonts w:asciiTheme="minorHAnsi" w:eastAsia="Times New Roman" w:hAnsiTheme="minorHAnsi" w:cstheme="minorHAnsi"/>
          <w:i/>
          <w:sz w:val="24"/>
          <w:szCs w:val="24"/>
        </w:rPr>
        <w:t>scegliere tra prezzo o offerta tecnica o, ove prevista, offerta tempo</w:t>
      </w:r>
      <w:r w:rsidRPr="00AF38A8">
        <w:rPr>
          <w:rFonts w:asciiTheme="minorHAnsi" w:eastAsia="Times New Roman" w:hAnsiTheme="minorHAnsi" w:cstheme="minorHAnsi"/>
          <w:sz w:val="24"/>
          <w:szCs w:val="24"/>
        </w:rPr>
        <w:t>].</w:t>
      </w:r>
    </w:p>
    <w:p w14:paraId="7C5DBFCE"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le offerte di due o più concorrenti ottengano lo stesso punteggio complessivo e gli stessi punteggi parziali per il prezzo e per l’offerta tecnica, i predetti concorrenti, su richiesta della stazione appaltante, presentano un’offerta migliorativa sul prezzo entro … [</w:t>
      </w:r>
      <w:r w:rsidRPr="00AF38A8">
        <w:rPr>
          <w:rFonts w:asciiTheme="minorHAnsi" w:eastAsia="Times New Roman" w:hAnsiTheme="minorHAnsi" w:cstheme="minorHAnsi"/>
          <w:i/>
          <w:sz w:val="24"/>
          <w:szCs w:val="24"/>
        </w:rPr>
        <w:t>indicare il termine perentorio di presentazione dell’offerta migliorativa</w:t>
      </w:r>
      <w:r w:rsidRPr="00AF38A8">
        <w:rPr>
          <w:rFonts w:asciiTheme="minorHAnsi" w:eastAsia="Times New Roman" w:hAnsiTheme="minorHAnsi" w:cstheme="minorHAnsi"/>
          <w:sz w:val="24"/>
          <w:szCs w:val="24"/>
        </w:rPr>
        <w:t xml:space="preserve">]. La richiesta è effettuata secondo le modalità previste al punto </w:t>
      </w:r>
      <w:hyperlink w:anchor="_heading=h.2xcytpi">
        <w:r w:rsidRPr="00AF38A8">
          <w:rPr>
            <w:rFonts w:asciiTheme="minorHAnsi" w:eastAsia="Times New Roman" w:hAnsiTheme="minorHAnsi" w:cstheme="minorHAnsi"/>
            <w:sz w:val="24"/>
            <w:szCs w:val="24"/>
          </w:rPr>
          <w:t xml:space="preserve">2.3. </w:t>
        </w:r>
      </w:hyperlink>
      <w:r w:rsidRPr="00AF38A8">
        <w:rPr>
          <w:rFonts w:asciiTheme="minorHAnsi" w:eastAsia="Times New Roman" w:hAnsiTheme="minorHAnsi" w:cstheme="minorHAnsi"/>
          <w:sz w:val="24"/>
          <w:szCs w:val="24"/>
        </w:rPr>
        <w:t xml:space="preserve">È collocato primo in graduatoria il concorrente che ha presentato la migliore offerta. Ove permanga l’ex aequo la commissione procede mediante sorteggio ad individuare il concorrente che verrà collocato primo nella graduatoria. La stazione appaltante comunica il giorno e l’ora del sorteggio. secondo le modalità previste punto </w:t>
      </w:r>
      <w:hyperlink w:anchor="_heading=h.2xcytpi">
        <w:r w:rsidRPr="00AF38A8">
          <w:rPr>
            <w:rFonts w:asciiTheme="minorHAnsi" w:eastAsia="Times New Roman" w:hAnsiTheme="minorHAnsi" w:cstheme="minorHAnsi"/>
            <w:sz w:val="24"/>
            <w:szCs w:val="24"/>
          </w:rPr>
          <w:t>2.3.</w:t>
        </w:r>
      </w:hyperlink>
    </w:p>
    <w:p w14:paraId="3394408A"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La commissione giudicatrice rende visibile ai concorrenti, con le modalità di cui all’articolo </w:t>
      </w:r>
      <w:hyperlink w:anchor="_heading=h.1jlao46">
        <w:r w:rsidRPr="00AF38A8">
          <w:rPr>
            <w:rFonts w:asciiTheme="minorHAnsi" w:eastAsia="Times New Roman" w:hAnsiTheme="minorHAnsi" w:cstheme="minorHAnsi"/>
            <w:sz w:val="24"/>
            <w:szCs w:val="24"/>
          </w:rPr>
          <w:t xml:space="preserve">20, i </w:t>
        </w:r>
      </w:hyperlink>
      <w:r w:rsidRPr="00AF38A8">
        <w:rPr>
          <w:rFonts w:asciiTheme="minorHAnsi" w:eastAsia="Times New Roman" w:hAnsiTheme="minorHAnsi" w:cstheme="minorHAnsi"/>
          <w:sz w:val="24"/>
          <w:szCs w:val="24"/>
        </w:rPr>
        <w:t>prezzi offerti. All’esito delle operazioni di cui sopra, la commissione, redige la graduatoria.</w:t>
      </w:r>
    </w:p>
    <w:p w14:paraId="597CCDF7"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L’offerta è esclusa in caso di:</w:t>
      </w:r>
    </w:p>
    <w:p w14:paraId="23F662C9" w14:textId="77777777" w:rsidR="0076366E" w:rsidRPr="00AF38A8" w:rsidRDefault="00BA3D28" w:rsidP="00BD1359">
      <w:pPr>
        <w:numPr>
          <w:ilvl w:val="0"/>
          <w:numId w:val="1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mancata separazione dell’offerta economica dall’offerta tecnica, ovvero inserimento di elementi concernenti il prezzo nella documentazione amministrativa o nell’offerta tecnica;</w:t>
      </w:r>
    </w:p>
    <w:p w14:paraId="3E387BA2" w14:textId="77777777" w:rsidR="0076366E" w:rsidRPr="00AF38A8" w:rsidRDefault="00BA3D28" w:rsidP="00BD1359">
      <w:pPr>
        <w:numPr>
          <w:ilvl w:val="0"/>
          <w:numId w:val="1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mancata separazione dell’offerta tempo dall’offerta tecnica;</w:t>
      </w:r>
    </w:p>
    <w:p w14:paraId="17EBBBB0" w14:textId="77777777" w:rsidR="0076366E" w:rsidRPr="00AF38A8" w:rsidRDefault="00BA3D28" w:rsidP="00BD1359">
      <w:pPr>
        <w:numPr>
          <w:ilvl w:val="0"/>
          <w:numId w:val="1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presentazione di offerte parziali, plurime, condizionate, alternative oppure irregolari in quanto non rispettano i documenti di gara, ivi comprese le specifiche tecniche, o anormalmente basse;</w:t>
      </w:r>
    </w:p>
    <w:p w14:paraId="498C0D81" w14:textId="77777777" w:rsidR="0076366E" w:rsidRPr="00AF38A8" w:rsidRDefault="00BA3D28" w:rsidP="00BD1359">
      <w:pPr>
        <w:numPr>
          <w:ilvl w:val="0"/>
          <w:numId w:val="1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presentazione di offerte inammissibili in quanto la commissione giudicatrice ha ritenuto sussistenti gli estremi per l’informativa alla Procura della Repubblica per reati di corruzione o fenomeni collusivi o ha verificato essere in aumento rispetto all’importo a base di gara;</w:t>
      </w:r>
    </w:p>
    <w:p w14:paraId="1CEEDB0B" w14:textId="77777777" w:rsidR="0076366E" w:rsidRPr="00AF38A8" w:rsidRDefault="00BA3D28" w:rsidP="00BD1359">
      <w:pPr>
        <w:numPr>
          <w:ilvl w:val="0"/>
          <w:numId w:val="1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 in caso di mancato superamento della soglia di sbarramento</w:t>
      </w:r>
      <w:r w:rsidRPr="00AF38A8">
        <w:rPr>
          <w:rFonts w:asciiTheme="minorHAnsi" w:eastAsia="Times New Roman" w:hAnsiTheme="minorHAnsi" w:cstheme="minorHAnsi"/>
          <w:sz w:val="24"/>
          <w:szCs w:val="24"/>
        </w:rPr>
        <w:t>] mancato superamento della soglia di sbarramento per l’offerta tecnica.</w:t>
      </w:r>
      <w:bookmarkStart w:id="202" w:name="_Toc139277059"/>
    </w:p>
    <w:p w14:paraId="054875AF"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7D76FD9"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203" w:name="bookmark=id.1x0gk37" w:colFirst="0" w:colLast="0"/>
      <w:bookmarkStart w:id="204" w:name="_Toc140929855"/>
      <w:bookmarkStart w:id="205" w:name="_Toc141027297"/>
      <w:bookmarkEnd w:id="203"/>
      <w:r w:rsidRPr="00AF38A8">
        <w:rPr>
          <w:rFonts w:asciiTheme="minorHAnsi" w:eastAsia="Times New Roman" w:hAnsiTheme="minorHAnsi" w:cstheme="minorHAnsi"/>
          <w:sz w:val="24"/>
          <w:szCs w:val="24"/>
        </w:rPr>
        <w:t>Verifica di anomalia delle offerte</w:t>
      </w:r>
      <w:bookmarkEnd w:id="202"/>
      <w:bookmarkEnd w:id="204"/>
      <w:bookmarkEnd w:id="205"/>
    </w:p>
    <w:p w14:paraId="2B3B0EB9" w14:textId="2B360E71"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Sono considerate anormalmente basse le offerte che …. [</w:t>
      </w:r>
      <w:r w:rsidRPr="00AF38A8">
        <w:rPr>
          <w:rFonts w:asciiTheme="minorHAnsi" w:eastAsia="Times New Roman" w:hAnsiTheme="minorHAnsi" w:cstheme="minorHAnsi"/>
          <w:i/>
          <w:sz w:val="24"/>
          <w:szCs w:val="24"/>
        </w:rPr>
        <w:t>la stazione appaltante indica gli elementi specifici o i criteri/parametri in base ai quali ritiene anormalmente bassa un’offerta</w:t>
      </w:r>
      <w:r w:rsidRPr="00AF38A8">
        <w:rPr>
          <w:rFonts w:asciiTheme="minorHAnsi" w:eastAsia="Times New Roman" w:hAnsiTheme="minorHAnsi" w:cstheme="minorHAnsi"/>
          <w:sz w:val="24"/>
          <w:szCs w:val="24"/>
        </w:rPr>
        <w:t>].</w:t>
      </w:r>
    </w:p>
    <w:p w14:paraId="13B0932C"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La stazione appaltante si riserva la facoltà di sottoporre a verifica un’offerta che, in base anche ad altri ad elementi, ivi inclusi i costi della manodopera, appaia anormalmente bassa.</w:t>
      </w:r>
    </w:p>
    <w:p w14:paraId="780AA8CB"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la prima migliore offerta appaia anormalmente bassa, il RUP [</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i/>
          <w:sz w:val="24"/>
          <w:szCs w:val="24"/>
        </w:rPr>
        <w:t xml:space="preserve"> avvalendosi di … indicare se commissione giudicatrice o struttura di supporto istituita ad hoc</w:t>
      </w:r>
      <w:r w:rsidRPr="00AF38A8">
        <w:rPr>
          <w:rFonts w:asciiTheme="minorHAnsi" w:eastAsia="Times New Roman" w:hAnsiTheme="minorHAnsi" w:cstheme="minorHAnsi"/>
          <w:sz w:val="24"/>
          <w:szCs w:val="24"/>
        </w:rPr>
        <w:t>] ne valuta la congruità, serietà, sostenibilità e realizzabilità.</w:t>
      </w:r>
    </w:p>
    <w:p w14:paraId="5E8A6DB3" w14:textId="1FDAE2A8"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Qualora tale offerta risulti anomala, si procede con le stesse modalità nei confronti delle successive offerte ritenute anormalmente basse, fino ad individuare la migliore offerta ritenuta non anomala.</w:t>
      </w:r>
    </w:p>
    <w:p w14:paraId="7F9F5D9D"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Il concorrente allega, in sede di presentazione dell’offerta economica, le giustificazioni relative alle voci di prezzo e di costo. La mancata presentazione anticipata delle giustificazioni non è causa di esclusione.</w:t>
      </w:r>
    </w:p>
    <w:p w14:paraId="1FD75E54"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44A6D98"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RUP richiede al concorrente la presentazione delle spiegazioni, se del caso, indicando le componenti specifiche dell’offerta ritenute anomale.</w:t>
      </w:r>
    </w:p>
    <w:p w14:paraId="565B3915"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 tal fine, assegna un termine non superiore a quindici giorni dal ricevimento della richiesta.</w:t>
      </w:r>
    </w:p>
    <w:p w14:paraId="04A9C4CE"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RUP, esaminate le spiegazioni fornite dall’offerente, ove le ritenga non sufficienti ad escludere l’anomalia, può chiedere, anche mediante audizione orale, ulteriori chiarimenti, assegnando un termine perentorio per il riscontro.</w:t>
      </w:r>
    </w:p>
    <w:p w14:paraId="7FEFD512"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RUP esclude le offerte che, in base all’esame degli elementi forniti con le spiegazioni risultino, nel complesso, inaffidabili.</w:t>
      </w:r>
    </w:p>
    <w:p w14:paraId="2ECE0342"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61BCC18"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206" w:name="bookmark=id.2w5ecyt" w:colFirst="0" w:colLast="0"/>
      <w:bookmarkStart w:id="207" w:name="bookmark=id.3vac5uf" w:colFirst="0" w:colLast="0"/>
      <w:bookmarkStart w:id="208" w:name="_Toc139277061"/>
      <w:bookmarkStart w:id="209" w:name="_Toc140929857"/>
      <w:bookmarkStart w:id="210" w:name="_Toc141027299"/>
      <w:bookmarkEnd w:id="206"/>
      <w:bookmarkEnd w:id="207"/>
      <w:r w:rsidRPr="00AF38A8">
        <w:rPr>
          <w:rFonts w:asciiTheme="minorHAnsi" w:eastAsia="Times New Roman" w:hAnsiTheme="minorHAnsi" w:cstheme="minorHAnsi"/>
          <w:sz w:val="24"/>
          <w:szCs w:val="24"/>
        </w:rPr>
        <w:t>Aggiudicazione dell’appalto e stipula del contratto</w:t>
      </w:r>
      <w:bookmarkEnd w:id="208"/>
      <w:bookmarkEnd w:id="209"/>
      <w:bookmarkEnd w:id="210"/>
    </w:p>
    <w:p w14:paraId="5371954D"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proposta di aggiudicazione è formulata in favore del concorrente che ha presentato la migliore offerta.</w:t>
      </w:r>
    </w:p>
    <w:p w14:paraId="1CAF4850" w14:textId="53D4BC7F"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DE3951">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Qualora nessuna offerta risulti conveniente o idonea in relazione all’oggetto del contratto, la stazione appaltante può decidere, entro 30 giorni dalla conclusione delle valutazioni delle offerte, di non procedere all’aggiudicazione.</w:t>
      </w:r>
    </w:p>
    <w:p w14:paraId="0B75EEA5"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DE3951">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Non si procede all’aggiudicazione dell’appalto all’offerente che ha presentato l’offerta economicamente più vantaggiosa qualora venga accertato che tale offerta non soddisfa gli obblighi in materia ambientale, sociale e del lavoro stabiliti dalla normativa europea e nazionale, dai contratti collettivi o dalle disposizioni internazionali elencate nell’allegato X della direttiva 2014/24/UE.</w:t>
      </w:r>
    </w:p>
    <w:p w14:paraId="4650F1A7"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A5378F9" w14:textId="24C21A25"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L’aggiudicazione è disposta all’esito positivo della verifica del possesso dei requisiti prescritti </w:t>
      </w:r>
      <w:r w:rsidR="00DE2A9B" w:rsidRPr="00AF38A8">
        <w:rPr>
          <w:rFonts w:asciiTheme="minorHAnsi" w:eastAsia="Times New Roman" w:hAnsiTheme="minorHAnsi" w:cstheme="minorHAnsi"/>
          <w:sz w:val="24"/>
          <w:szCs w:val="24"/>
        </w:rPr>
        <w:t>dal</w:t>
      </w:r>
      <w:r w:rsidR="009E6219" w:rsidRPr="00AF38A8">
        <w:rPr>
          <w:rFonts w:asciiTheme="minorHAnsi" w:eastAsia="Times New Roman" w:hAnsiTheme="minorHAnsi" w:cstheme="minorHAnsi"/>
          <w:sz w:val="24"/>
          <w:szCs w:val="24"/>
        </w:rPr>
        <w:t>la</w:t>
      </w:r>
      <w:r w:rsidRPr="00AF38A8">
        <w:rPr>
          <w:rFonts w:asciiTheme="minorHAnsi" w:eastAsia="Times New Roman" w:hAnsiTheme="minorHAnsi" w:cstheme="minorHAnsi"/>
          <w:sz w:val="24"/>
          <w:szCs w:val="24"/>
        </w:rPr>
        <w:t xml:space="preserve"> presente </w:t>
      </w:r>
      <w:r w:rsidR="009E6219" w:rsidRPr="00AF38A8">
        <w:rPr>
          <w:rFonts w:asciiTheme="minorHAnsi" w:eastAsia="Times New Roman" w:hAnsiTheme="minorHAnsi" w:cstheme="minorHAnsi"/>
          <w:sz w:val="24"/>
          <w:szCs w:val="24"/>
        </w:rPr>
        <w:t>lettera di invito</w:t>
      </w:r>
      <w:r w:rsidRPr="00AF38A8">
        <w:rPr>
          <w:rFonts w:asciiTheme="minorHAnsi" w:eastAsia="Times New Roman" w:hAnsiTheme="minorHAnsi" w:cstheme="minorHAnsi"/>
          <w:sz w:val="24"/>
          <w:szCs w:val="24"/>
        </w:rPr>
        <w:t xml:space="preserve"> ed è immediatamente efficace. In caso di esito negativo delle verifiche, si procede all’esclusione, alla segnalazione all’ANAC, ad incamerare la garanzia provvisoria.</w:t>
      </w:r>
    </w:p>
    <w:p w14:paraId="5F54B21C"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Successivamente si procede a ricalcolare i punteggi e a riformulare la graduatoria procedendo altresì, alle verifiche nei termini sopra indicati. Nell’ipotesi di ulteriore esito negativo delle verifiche si procede nei termini sopra detti, scorrendo la graduatoria.</w:t>
      </w:r>
    </w:p>
    <w:p w14:paraId="2A1DDE2A" w14:textId="742634EA"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contratto è stipulato</w:t>
      </w:r>
      <w:r w:rsidR="005665F7" w:rsidRPr="00AF38A8">
        <w:rPr>
          <w:rFonts w:asciiTheme="minorHAnsi" w:eastAsia="Times New Roman" w:hAnsiTheme="minorHAnsi" w:cstheme="minorHAnsi"/>
          <w:sz w:val="24"/>
          <w:szCs w:val="24"/>
        </w:rPr>
        <w:t>, ai sensi dell’art</w:t>
      </w:r>
      <w:r w:rsidR="00DE3951">
        <w:rPr>
          <w:rFonts w:asciiTheme="minorHAnsi" w:eastAsia="Times New Roman" w:hAnsiTheme="minorHAnsi" w:cstheme="minorHAnsi"/>
          <w:sz w:val="24"/>
          <w:szCs w:val="24"/>
        </w:rPr>
        <w:t>icolo</w:t>
      </w:r>
      <w:r w:rsidR="005665F7" w:rsidRPr="00AF38A8">
        <w:rPr>
          <w:rFonts w:asciiTheme="minorHAnsi" w:eastAsia="Times New Roman" w:hAnsiTheme="minorHAnsi" w:cstheme="minorHAnsi"/>
          <w:sz w:val="24"/>
          <w:szCs w:val="24"/>
        </w:rPr>
        <w:t xml:space="preserve"> 55</w:t>
      </w:r>
      <w:r w:rsidR="00DE3951">
        <w:rPr>
          <w:rFonts w:asciiTheme="minorHAnsi" w:eastAsia="Times New Roman" w:hAnsiTheme="minorHAnsi" w:cstheme="minorHAnsi"/>
          <w:sz w:val="24"/>
          <w:szCs w:val="24"/>
        </w:rPr>
        <w:t>,</w:t>
      </w:r>
      <w:r w:rsidR="005665F7" w:rsidRPr="00AF38A8">
        <w:rPr>
          <w:rFonts w:asciiTheme="minorHAnsi" w:eastAsia="Times New Roman" w:hAnsiTheme="minorHAnsi" w:cstheme="minorHAnsi"/>
          <w:sz w:val="24"/>
          <w:szCs w:val="24"/>
        </w:rPr>
        <w:t xml:space="preserve"> comma 1</w:t>
      </w:r>
      <w:r w:rsidRPr="00AF38A8">
        <w:rPr>
          <w:rFonts w:asciiTheme="minorHAnsi" w:eastAsia="Times New Roman" w:hAnsiTheme="minorHAnsi" w:cstheme="minorHAnsi"/>
          <w:sz w:val="24"/>
          <w:szCs w:val="24"/>
        </w:rPr>
        <w:t xml:space="preserve"> del </w:t>
      </w:r>
      <w:r w:rsidR="005665F7" w:rsidRPr="00AF38A8">
        <w:rPr>
          <w:rFonts w:asciiTheme="minorHAnsi" w:eastAsia="Times New Roman" w:hAnsiTheme="minorHAnsi" w:cstheme="minorHAnsi"/>
          <w:sz w:val="24"/>
          <w:szCs w:val="24"/>
        </w:rPr>
        <w:t>Codice,</w:t>
      </w:r>
      <w:r w:rsidRPr="00AF38A8">
        <w:rPr>
          <w:rFonts w:asciiTheme="minorHAnsi" w:eastAsia="Times New Roman" w:hAnsiTheme="minorHAnsi" w:cstheme="minorHAnsi"/>
          <w:sz w:val="24"/>
          <w:szCs w:val="24"/>
        </w:rPr>
        <w:t xml:space="preserve"> entro </w:t>
      </w:r>
      <w:r w:rsidR="005665F7" w:rsidRPr="00AF38A8">
        <w:rPr>
          <w:rFonts w:asciiTheme="minorHAnsi" w:eastAsia="Times New Roman" w:hAnsiTheme="minorHAnsi" w:cstheme="minorHAnsi"/>
          <w:sz w:val="24"/>
          <w:szCs w:val="24"/>
        </w:rPr>
        <w:t>30</w:t>
      </w:r>
      <w:r w:rsidRPr="00AF38A8">
        <w:rPr>
          <w:rFonts w:asciiTheme="minorHAnsi" w:eastAsia="Times New Roman" w:hAnsiTheme="minorHAnsi" w:cstheme="minorHAnsi"/>
          <w:sz w:val="24"/>
          <w:szCs w:val="24"/>
        </w:rPr>
        <w:t xml:space="preserve"> giorni dall’aggiudicazione</w:t>
      </w:r>
      <w:r w:rsidR="005665F7" w:rsidRPr="00AF38A8">
        <w:rPr>
          <w:rFonts w:asciiTheme="minorHAnsi" w:eastAsia="Times New Roman" w:hAnsiTheme="minorHAnsi" w:cstheme="minorHAnsi"/>
          <w:sz w:val="24"/>
          <w:szCs w:val="24"/>
        </w:rPr>
        <w:t xml:space="preserve">. </w:t>
      </w:r>
      <w:r w:rsidR="00DE2A9B" w:rsidRPr="00AF38A8">
        <w:rPr>
          <w:rFonts w:asciiTheme="minorHAnsi" w:eastAsia="Times New Roman" w:hAnsiTheme="minorHAnsi" w:cstheme="minorHAnsi"/>
          <w:sz w:val="24"/>
          <w:szCs w:val="24"/>
        </w:rPr>
        <w:t xml:space="preserve"> </w:t>
      </w:r>
      <w:r w:rsidR="005665F7" w:rsidRPr="00AF38A8">
        <w:rPr>
          <w:rFonts w:asciiTheme="minorHAnsi" w:eastAsia="Times New Roman" w:hAnsiTheme="minorHAnsi" w:cstheme="minorHAnsi"/>
          <w:sz w:val="24"/>
          <w:szCs w:val="24"/>
        </w:rPr>
        <w:t>Non si applicano i termini dilatori previsti dall’art</w:t>
      </w:r>
      <w:r w:rsidR="00DE3951">
        <w:rPr>
          <w:rFonts w:asciiTheme="minorHAnsi" w:eastAsia="Times New Roman" w:hAnsiTheme="minorHAnsi" w:cstheme="minorHAnsi"/>
          <w:sz w:val="24"/>
          <w:szCs w:val="24"/>
        </w:rPr>
        <w:t>icolo</w:t>
      </w:r>
      <w:r w:rsidRPr="00AF38A8">
        <w:rPr>
          <w:rFonts w:asciiTheme="minorHAnsi" w:eastAsia="Times New Roman" w:hAnsiTheme="minorHAnsi" w:cstheme="minorHAnsi"/>
          <w:sz w:val="24"/>
          <w:szCs w:val="24"/>
        </w:rPr>
        <w:t xml:space="preserve"> 18, </w:t>
      </w:r>
      <w:r w:rsidR="005665F7" w:rsidRPr="00AF38A8">
        <w:rPr>
          <w:rFonts w:asciiTheme="minorHAnsi" w:eastAsia="Times New Roman" w:hAnsiTheme="minorHAnsi" w:cstheme="minorHAnsi"/>
          <w:sz w:val="24"/>
          <w:szCs w:val="24"/>
        </w:rPr>
        <w:t>commi 3 e 4</w:t>
      </w:r>
      <w:r w:rsidR="00DE3951">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Codice.</w:t>
      </w:r>
    </w:p>
    <w:p w14:paraId="56E0BB49"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DE3951">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A seguito di richiesta motivata proveniente dall’aggiudicatario la data di stipula del contratto può essere differita purché ritenuta compatibile con la sollecita esecuzione del contratto stesso.</w:t>
      </w:r>
    </w:p>
    <w:p w14:paraId="6E6CBD02" w14:textId="77777777" w:rsidR="00442A19" w:rsidRDefault="00442A19"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2E33193" w14:textId="07D269EA"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All’atto della stipulazione del contratto, l’aggiudicatario deve presentare</w:t>
      </w:r>
      <w:r w:rsidR="005665F7" w:rsidRPr="00AF38A8">
        <w:rPr>
          <w:rFonts w:asciiTheme="minorHAnsi" w:eastAsia="Times New Roman" w:hAnsiTheme="minorHAnsi" w:cstheme="minorHAnsi"/>
          <w:sz w:val="24"/>
          <w:szCs w:val="24"/>
        </w:rPr>
        <w:t>,</w:t>
      </w:r>
      <w:r w:rsidR="00DE2A9B" w:rsidRPr="00AF38A8">
        <w:rPr>
          <w:rFonts w:asciiTheme="minorHAnsi" w:eastAsia="Times New Roman" w:hAnsiTheme="minorHAnsi" w:cstheme="minorHAnsi"/>
          <w:sz w:val="24"/>
          <w:szCs w:val="24"/>
        </w:rPr>
        <w:t xml:space="preserve"> </w:t>
      </w:r>
      <w:r w:rsidR="005665F7" w:rsidRPr="00AF38A8">
        <w:rPr>
          <w:rFonts w:asciiTheme="minorHAnsi" w:eastAsia="Times New Roman" w:hAnsiTheme="minorHAnsi" w:cstheme="minorHAnsi"/>
          <w:sz w:val="24"/>
          <w:szCs w:val="24"/>
        </w:rPr>
        <w:t>ai sensi dell’art</w:t>
      </w:r>
      <w:r w:rsidR="00AA2500">
        <w:rPr>
          <w:rFonts w:asciiTheme="minorHAnsi" w:eastAsia="Times New Roman" w:hAnsiTheme="minorHAnsi" w:cstheme="minorHAnsi"/>
          <w:sz w:val="24"/>
          <w:szCs w:val="24"/>
        </w:rPr>
        <w:t>icolo</w:t>
      </w:r>
      <w:r w:rsidR="005665F7" w:rsidRPr="00AF38A8">
        <w:rPr>
          <w:rFonts w:asciiTheme="minorHAnsi" w:eastAsia="Times New Roman" w:hAnsiTheme="minorHAnsi" w:cstheme="minorHAnsi"/>
          <w:sz w:val="24"/>
          <w:szCs w:val="24"/>
        </w:rPr>
        <w:t xml:space="preserve"> 54</w:t>
      </w:r>
      <w:r w:rsidR="00AA2500">
        <w:rPr>
          <w:rFonts w:asciiTheme="minorHAnsi" w:eastAsia="Times New Roman" w:hAnsiTheme="minorHAnsi" w:cstheme="minorHAnsi"/>
          <w:sz w:val="24"/>
          <w:szCs w:val="24"/>
        </w:rPr>
        <w:t>,</w:t>
      </w:r>
      <w:r w:rsidR="005665F7" w:rsidRPr="00AF38A8">
        <w:rPr>
          <w:rFonts w:asciiTheme="minorHAnsi" w:eastAsia="Times New Roman" w:hAnsiTheme="minorHAnsi" w:cstheme="minorHAnsi"/>
          <w:sz w:val="24"/>
          <w:szCs w:val="24"/>
        </w:rPr>
        <w:t xml:space="preserve"> comma 4</w:t>
      </w:r>
      <w:r w:rsidR="00AA2500">
        <w:rPr>
          <w:rFonts w:asciiTheme="minorHAnsi" w:eastAsia="Times New Roman" w:hAnsiTheme="minorHAnsi" w:cstheme="minorHAnsi"/>
          <w:sz w:val="24"/>
          <w:szCs w:val="24"/>
        </w:rPr>
        <w:t>,</w:t>
      </w:r>
      <w:r w:rsidR="005665F7" w:rsidRPr="00AF38A8">
        <w:rPr>
          <w:rFonts w:asciiTheme="minorHAnsi" w:eastAsia="Times New Roman" w:hAnsiTheme="minorHAnsi" w:cstheme="minorHAnsi"/>
          <w:sz w:val="24"/>
          <w:szCs w:val="24"/>
        </w:rPr>
        <w:t xml:space="preserve"> del Codice,</w:t>
      </w:r>
      <w:r w:rsidRPr="00AF38A8">
        <w:rPr>
          <w:rFonts w:asciiTheme="minorHAnsi" w:eastAsia="Times New Roman" w:hAnsiTheme="minorHAnsi" w:cstheme="minorHAnsi"/>
          <w:sz w:val="24"/>
          <w:szCs w:val="24"/>
        </w:rPr>
        <w:t xml:space="preserve"> la garanzia definitiva </w:t>
      </w:r>
      <w:r w:rsidR="005665F7" w:rsidRPr="00AF38A8">
        <w:rPr>
          <w:rFonts w:asciiTheme="minorHAnsi" w:eastAsia="Times New Roman" w:hAnsiTheme="minorHAnsi" w:cstheme="minorHAnsi"/>
          <w:sz w:val="24"/>
          <w:szCs w:val="24"/>
        </w:rPr>
        <w:t>pari al 5% dell’importo</w:t>
      </w:r>
      <w:r w:rsidRPr="00AF38A8">
        <w:rPr>
          <w:rFonts w:asciiTheme="minorHAnsi" w:eastAsia="Times New Roman" w:hAnsiTheme="minorHAnsi" w:cstheme="minorHAnsi"/>
          <w:sz w:val="24"/>
          <w:szCs w:val="24"/>
        </w:rPr>
        <w:t xml:space="preserve"> contrattuale</w:t>
      </w:r>
      <w:r w:rsidR="009E6219" w:rsidRPr="00AF38A8">
        <w:rPr>
          <w:rFonts w:asciiTheme="minorHAnsi" w:eastAsia="Times New Roman" w:hAnsiTheme="minorHAnsi" w:cstheme="minorHAnsi"/>
          <w:sz w:val="24"/>
          <w:szCs w:val="24"/>
        </w:rPr>
        <w:t>.</w:t>
      </w:r>
    </w:p>
    <w:p w14:paraId="1F048E63" w14:textId="2A3210E2" w:rsidR="005665F7" w:rsidRPr="00AF38A8" w:rsidRDefault="005665F7" w:rsidP="00BD1359">
      <w:pPr>
        <w:pBdr>
          <w:top w:val="nil"/>
          <w:left w:val="nil"/>
          <w:bottom w:val="nil"/>
          <w:right w:val="nil"/>
          <w:between w:val="nil"/>
        </w:pBdr>
        <w:spacing w:line="276" w:lineRule="auto"/>
        <w:jc w:val="both"/>
        <w:rPr>
          <w:rFonts w:asciiTheme="minorHAnsi" w:eastAsia="Times New Roman" w:hAnsiTheme="minorHAnsi" w:cstheme="minorHAnsi"/>
          <w:b/>
          <w:bCs/>
          <w:sz w:val="24"/>
          <w:szCs w:val="24"/>
        </w:rPr>
      </w:pPr>
      <w:r w:rsidRPr="00AF38A8">
        <w:rPr>
          <w:rFonts w:asciiTheme="minorHAnsi" w:eastAsia="Times New Roman" w:hAnsiTheme="minorHAnsi" w:cstheme="minorHAnsi"/>
          <w:b/>
          <w:bCs/>
          <w:sz w:val="24"/>
          <w:szCs w:val="24"/>
        </w:rPr>
        <w:t>[</w:t>
      </w:r>
      <w:r w:rsidRPr="00DE3951">
        <w:rPr>
          <w:rFonts w:asciiTheme="minorHAnsi" w:eastAsia="Times New Roman" w:hAnsiTheme="minorHAnsi" w:cstheme="minorHAnsi"/>
          <w:b/>
          <w:bCs/>
          <w:i/>
          <w:sz w:val="24"/>
          <w:szCs w:val="24"/>
        </w:rPr>
        <w:t>in alternativa</w:t>
      </w:r>
      <w:r w:rsidRPr="00AF38A8">
        <w:rPr>
          <w:rFonts w:asciiTheme="minorHAnsi" w:eastAsia="Times New Roman" w:hAnsiTheme="minorHAnsi" w:cstheme="minorHAnsi"/>
          <w:b/>
          <w:bCs/>
          <w:sz w:val="24"/>
          <w:szCs w:val="24"/>
        </w:rPr>
        <w:t>]</w:t>
      </w:r>
    </w:p>
    <w:p w14:paraId="185331E5" w14:textId="0D9D4506" w:rsidR="0076366E" w:rsidRPr="00AF38A8" w:rsidRDefault="005665F7"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sensi dell’art. 53 comma 4 del Codice, la garanzia definitiva non è richiesta per i seguenti motivi…..</w:t>
      </w:r>
      <w:r w:rsidR="00DE3951">
        <w:rPr>
          <w:rFonts w:asciiTheme="minorHAnsi" w:eastAsia="Times New Roman" w:hAnsiTheme="minorHAnsi" w:cstheme="minorHAnsi"/>
          <w:sz w:val="24"/>
          <w:szCs w:val="24"/>
        </w:rPr>
        <w:t>[</w:t>
      </w:r>
      <w:r w:rsidRPr="00AF38A8">
        <w:rPr>
          <w:rFonts w:asciiTheme="minorHAnsi" w:eastAsia="Times New Roman" w:hAnsiTheme="minorHAnsi" w:cstheme="minorHAnsi"/>
          <w:i/>
          <w:iCs/>
          <w:sz w:val="24"/>
          <w:szCs w:val="24"/>
        </w:rPr>
        <w:t>spiegare le ragioni per cui si ritiene non necessaria la costituzione della garanzia definitiva</w:t>
      </w:r>
      <w:r w:rsidR="00DE3951">
        <w:rPr>
          <w:rFonts w:asciiTheme="minorHAnsi" w:eastAsia="Times New Roman" w:hAnsiTheme="minorHAnsi" w:cstheme="minorHAnsi"/>
          <w:sz w:val="24"/>
          <w:szCs w:val="24"/>
        </w:rPr>
        <w:t>].</w:t>
      </w:r>
    </w:p>
    <w:p w14:paraId="658CE4C3" w14:textId="77777777" w:rsidR="00442A19" w:rsidRDefault="00442A19"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AADD88F" w14:textId="5C9BF182"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stipula del contratto non avviene nel termine per fatto della stazione appaltante, l’aggiudicatario può farne constatare il silenzio inadempimento o, in alternativa, può sciogliersi da ogni vincolo mediante atto notificato. All’aggiudicatario non spetta alcun indennizzo, salvo il rimborso delle spese contrattuali.</w:t>
      </w:r>
    </w:p>
    <w:p w14:paraId="0A59D2E6"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stipula del contratto non avviene nel termine fissato per fatto dell’aggiudicatario può costituire motivo di revoca dell’aggiudicazione.</w:t>
      </w:r>
    </w:p>
    <w:p w14:paraId="32FC7914"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mancata o tardiva stipula del contratto al di fuori delle ipotesi predette, costituisce violazione del dovere di buona fede, anche in pendenza di contenzioso.</w:t>
      </w:r>
    </w:p>
    <w:p w14:paraId="1ABDBE99" w14:textId="76B51A9A"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All’atto della stipulazione del contratto, l’aggiudicatario trasmette alla stazione appaltante copia autentica ai sensi dell’art</w:t>
      </w:r>
      <w:r w:rsidR="00DE3951">
        <w:rPr>
          <w:rFonts w:asciiTheme="minorHAnsi" w:eastAsia="Times New Roman" w:hAnsiTheme="minorHAnsi" w:cstheme="minorHAnsi"/>
          <w:sz w:val="24"/>
          <w:szCs w:val="24"/>
        </w:rPr>
        <w:t>icolo</w:t>
      </w:r>
      <w:r w:rsidRPr="00AF38A8">
        <w:rPr>
          <w:rFonts w:asciiTheme="minorHAnsi" w:eastAsia="Times New Roman" w:hAnsiTheme="minorHAnsi" w:cstheme="minorHAnsi"/>
          <w:sz w:val="24"/>
          <w:szCs w:val="24"/>
        </w:rPr>
        <w:t xml:space="preserve"> 18 del d.</w:t>
      </w:r>
      <w:r w:rsidR="00D97964">
        <w:rPr>
          <w:rFonts w:asciiTheme="minorHAnsi" w:eastAsia="Times New Roman" w:hAnsiTheme="minorHAnsi" w:cstheme="minorHAnsi"/>
          <w:sz w:val="24"/>
          <w:szCs w:val="24"/>
        </w:rPr>
        <w:t>P</w:t>
      </w:r>
      <w:r w:rsidRPr="00AF38A8">
        <w:rPr>
          <w:rFonts w:asciiTheme="minorHAnsi" w:eastAsia="Times New Roman" w:hAnsiTheme="minorHAnsi" w:cstheme="minorHAnsi"/>
          <w:sz w:val="24"/>
          <w:szCs w:val="24"/>
        </w:rPr>
        <w:t>.</w:t>
      </w:r>
      <w:r w:rsidR="00D97964">
        <w:rPr>
          <w:rFonts w:asciiTheme="minorHAnsi" w:eastAsia="Times New Roman" w:hAnsiTheme="minorHAnsi" w:cstheme="minorHAnsi"/>
          <w:sz w:val="24"/>
          <w:szCs w:val="24"/>
        </w:rPr>
        <w:t>R</w:t>
      </w:r>
      <w:r w:rsidRPr="00AF38A8">
        <w:rPr>
          <w:rFonts w:asciiTheme="minorHAnsi" w:eastAsia="Times New Roman" w:hAnsiTheme="minorHAnsi" w:cstheme="minorHAnsi"/>
          <w:sz w:val="24"/>
          <w:szCs w:val="24"/>
        </w:rPr>
        <w:t xml:space="preserve">. </w:t>
      </w:r>
      <w:r w:rsidR="00DE3951">
        <w:rPr>
          <w:rFonts w:asciiTheme="minorHAnsi" w:eastAsia="Times New Roman" w:hAnsiTheme="minorHAnsi" w:cstheme="minorHAnsi"/>
          <w:sz w:val="24"/>
          <w:szCs w:val="24"/>
        </w:rPr>
        <w:t xml:space="preserve">n. </w:t>
      </w:r>
      <w:r w:rsidRPr="00AF38A8">
        <w:rPr>
          <w:rFonts w:asciiTheme="minorHAnsi" w:eastAsia="Times New Roman" w:hAnsiTheme="minorHAnsi" w:cstheme="minorHAnsi"/>
          <w:sz w:val="24"/>
          <w:szCs w:val="24"/>
        </w:rPr>
        <w:t>445/2000 della polizza di responsabilità civile professionale a copertura dei rischi derivanti dallo svolgimento della propria attività</w:t>
      </w:r>
      <w:r w:rsidR="00A253D7">
        <w:rPr>
          <w:rFonts w:asciiTheme="minorHAnsi" w:eastAsia="Times New Roman" w:hAnsiTheme="minorHAnsi" w:cstheme="minorHAnsi"/>
          <w:sz w:val="24"/>
          <w:szCs w:val="24"/>
        </w:rPr>
        <w:t>.</w:t>
      </w:r>
    </w:p>
    <w:p w14:paraId="7C45AE3F" w14:textId="18B4ED15"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alternativa, l’aggiudicatario trasmette copia informatica di documento analogico (scansione di documento cartaceo) secondo le modalità previste dall’art</w:t>
      </w:r>
      <w:r w:rsidR="00DE3951">
        <w:rPr>
          <w:rFonts w:asciiTheme="minorHAnsi" w:eastAsia="Times New Roman" w:hAnsiTheme="minorHAnsi" w:cstheme="minorHAnsi"/>
          <w:sz w:val="24"/>
          <w:szCs w:val="24"/>
        </w:rPr>
        <w:t>icolo</w:t>
      </w:r>
      <w:r w:rsidRPr="00AF38A8">
        <w:rPr>
          <w:rFonts w:asciiTheme="minorHAnsi" w:eastAsia="Times New Roman" w:hAnsiTheme="minorHAnsi" w:cstheme="minorHAnsi"/>
          <w:sz w:val="24"/>
          <w:szCs w:val="24"/>
        </w:rPr>
        <w:t xml:space="preserve"> 22, commi 1 e 2, del d.lgs. </w:t>
      </w:r>
      <w:r w:rsidR="00DE3951">
        <w:rPr>
          <w:rFonts w:asciiTheme="minorHAnsi" w:eastAsia="Times New Roman" w:hAnsiTheme="minorHAnsi" w:cstheme="minorHAnsi"/>
          <w:sz w:val="24"/>
          <w:szCs w:val="24"/>
        </w:rPr>
        <w:t xml:space="preserve">n. </w:t>
      </w:r>
      <w:r w:rsidRPr="00AF38A8">
        <w:rPr>
          <w:rFonts w:asciiTheme="minorHAnsi" w:eastAsia="Times New Roman" w:hAnsiTheme="minorHAnsi" w:cstheme="minorHAnsi"/>
          <w:sz w:val="24"/>
          <w:szCs w:val="24"/>
        </w:rPr>
        <w:t>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w:t>
      </w:r>
      <w:r w:rsidR="00DE3951">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d.lgs. </w:t>
      </w:r>
      <w:r w:rsidR="00DE3951">
        <w:rPr>
          <w:rFonts w:asciiTheme="minorHAnsi" w:eastAsia="Times New Roman" w:hAnsiTheme="minorHAnsi" w:cstheme="minorHAnsi"/>
          <w:sz w:val="24"/>
          <w:szCs w:val="24"/>
        </w:rPr>
        <w:t xml:space="preserve">n. </w:t>
      </w:r>
      <w:r w:rsidRPr="00AF38A8">
        <w:rPr>
          <w:rFonts w:asciiTheme="minorHAnsi" w:eastAsia="Times New Roman" w:hAnsiTheme="minorHAnsi" w:cstheme="minorHAnsi"/>
          <w:sz w:val="24"/>
          <w:szCs w:val="24"/>
        </w:rPr>
        <w:t>82/2005).</w:t>
      </w:r>
    </w:p>
    <w:p w14:paraId="183AAFB5"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polizza, oltre ai danni subiti dalle stazioni appaltanti in conseguenza di errori o di omissioni della progettazione, copre anche i rischi derivanti da errori od omissioni nella redazione del progetto esecutivo che possano determinare a carico della stazione appaltante nuove spese di progettazione e/o maggiori costi.</w:t>
      </w:r>
    </w:p>
    <w:p w14:paraId="143C2B57" w14:textId="77777777" w:rsidR="0076366E" w:rsidRPr="00643BA4"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643BA4">
        <w:rPr>
          <w:rFonts w:asciiTheme="minorHAnsi" w:eastAsia="Times New Roman" w:hAnsiTheme="minorHAnsi" w:cstheme="minorHAnsi"/>
          <w:sz w:val="24"/>
          <w:szCs w:val="24"/>
        </w:rPr>
        <w:t>L’affidatario comunica, per ogni sub-contratto che non costituisce subappalto, l’importo e l’oggetto del medesimo, nonché il nome del sub-contraente, prima dell’inizio della prestazione.</w:t>
      </w:r>
    </w:p>
    <w:p w14:paraId="3536F434" w14:textId="77777777" w:rsidR="00D87F17" w:rsidRPr="00AF38A8" w:rsidRDefault="00DE2A9B" w:rsidP="00BD1359">
      <w:pPr>
        <w:pBdr>
          <w:top w:val="nil"/>
          <w:left w:val="nil"/>
          <w:bottom w:val="nil"/>
          <w:right w:val="nil"/>
          <w:between w:val="nil"/>
        </w:pBdr>
        <w:spacing w:line="276" w:lineRule="auto"/>
        <w:jc w:val="both"/>
        <w:rPr>
          <w:rFonts w:asciiTheme="minorHAnsi" w:eastAsiaTheme="minorHAnsi" w:hAnsiTheme="minorHAnsi" w:cstheme="minorHAnsi"/>
          <w:sz w:val="24"/>
          <w:szCs w:val="24"/>
        </w:rPr>
      </w:pPr>
      <w:r w:rsidRPr="00AF38A8">
        <w:rPr>
          <w:rFonts w:asciiTheme="minorHAnsi" w:eastAsia="Times New Roman" w:hAnsiTheme="minorHAnsi" w:cstheme="minorHAnsi"/>
          <w:sz w:val="24"/>
          <w:szCs w:val="24"/>
        </w:rPr>
        <w:t>Il contratto è stipulato</w:t>
      </w:r>
      <w:r w:rsidR="00D87F17" w:rsidRPr="00AF38A8">
        <w:rPr>
          <w:rFonts w:asciiTheme="minorHAnsi" w:eastAsia="Times New Roman" w:hAnsiTheme="minorHAnsi" w:cstheme="minorHAnsi"/>
          <w:sz w:val="24"/>
          <w:szCs w:val="24"/>
        </w:rPr>
        <w:t>, ai sens</w:t>
      </w:r>
      <w:r w:rsidR="00F32A18" w:rsidRPr="00AF38A8">
        <w:rPr>
          <w:rFonts w:asciiTheme="minorHAnsi" w:eastAsia="Times New Roman" w:hAnsiTheme="minorHAnsi" w:cstheme="minorHAnsi"/>
          <w:sz w:val="24"/>
          <w:szCs w:val="24"/>
        </w:rPr>
        <w:t>i</w:t>
      </w:r>
      <w:r w:rsidR="00D87F17" w:rsidRPr="00AF38A8">
        <w:rPr>
          <w:rFonts w:asciiTheme="minorHAnsi" w:eastAsia="Times New Roman" w:hAnsiTheme="minorHAnsi" w:cstheme="minorHAnsi"/>
          <w:sz w:val="24"/>
          <w:szCs w:val="24"/>
        </w:rPr>
        <w:t xml:space="preserve"> dell’art. 18 comma 1 del Codice,</w:t>
      </w:r>
      <w:r w:rsidRPr="00AF38A8">
        <w:rPr>
          <w:rFonts w:asciiTheme="minorHAnsi" w:eastAsia="Times New Roman" w:hAnsiTheme="minorHAnsi" w:cstheme="minorHAnsi"/>
          <w:sz w:val="24"/>
          <w:szCs w:val="24"/>
        </w:rPr>
        <w:t xml:space="preserve"> </w:t>
      </w:r>
      <w:r w:rsidR="00D87F17" w:rsidRPr="00AF38A8">
        <w:rPr>
          <w:rFonts w:asciiTheme="minorHAnsi" w:eastAsiaTheme="minorHAnsi" w:hAnsiTheme="minorHAnsi" w:cstheme="minorHAnsi"/>
          <w:sz w:val="24"/>
          <w:szCs w:val="24"/>
        </w:rPr>
        <w:t>mediante corrispondenza secondo l'uso</w:t>
      </w:r>
      <w:r w:rsidR="00D87F17" w:rsidRPr="00AF38A8">
        <w:rPr>
          <w:rFonts w:asciiTheme="minorHAnsi" w:eastAsia="Times New Roman" w:hAnsiTheme="minorHAnsi" w:cstheme="minorHAnsi"/>
          <w:sz w:val="24"/>
          <w:szCs w:val="24"/>
        </w:rPr>
        <w:t xml:space="preserve"> </w:t>
      </w:r>
      <w:r w:rsidR="00D87F17" w:rsidRPr="00AF38A8">
        <w:rPr>
          <w:rFonts w:asciiTheme="minorHAnsi" w:eastAsiaTheme="minorHAnsi" w:hAnsiTheme="minorHAnsi" w:cstheme="minorHAnsi"/>
          <w:sz w:val="24"/>
          <w:szCs w:val="24"/>
        </w:rPr>
        <w:t>commerciale, consistente in un apposito scambio di lettere, anche tramite posta elettronica</w:t>
      </w:r>
      <w:r w:rsidR="00D87F17" w:rsidRPr="00AF38A8">
        <w:rPr>
          <w:rFonts w:asciiTheme="minorHAnsi" w:eastAsia="Times New Roman" w:hAnsiTheme="minorHAnsi" w:cstheme="minorHAnsi"/>
          <w:sz w:val="24"/>
          <w:szCs w:val="24"/>
        </w:rPr>
        <w:t xml:space="preserve"> </w:t>
      </w:r>
      <w:r w:rsidR="00D87F17" w:rsidRPr="00AF38A8">
        <w:rPr>
          <w:rFonts w:asciiTheme="minorHAnsi" w:eastAsiaTheme="minorHAnsi" w:hAnsiTheme="minorHAnsi" w:cstheme="minorHAnsi"/>
          <w:sz w:val="24"/>
          <w:szCs w:val="24"/>
        </w:rPr>
        <w:t>certificata o sistemi elettronici di recapito certificato qualificato ai sensi del regolamento UE</w:t>
      </w:r>
      <w:r w:rsidR="00D87F17" w:rsidRPr="00AF38A8">
        <w:rPr>
          <w:rFonts w:asciiTheme="minorHAnsi" w:eastAsia="Times New Roman" w:hAnsiTheme="minorHAnsi" w:cstheme="minorHAnsi"/>
          <w:sz w:val="24"/>
          <w:szCs w:val="24"/>
        </w:rPr>
        <w:t xml:space="preserve"> </w:t>
      </w:r>
      <w:r w:rsidR="00D87F17" w:rsidRPr="00AF38A8">
        <w:rPr>
          <w:rFonts w:asciiTheme="minorHAnsi" w:eastAsiaTheme="minorHAnsi" w:hAnsiTheme="minorHAnsi" w:cstheme="minorHAnsi"/>
          <w:sz w:val="24"/>
          <w:szCs w:val="24"/>
        </w:rPr>
        <w:t>n. 910/2014 del Parlamento europeo e del Consiglio del 23 luglio 2014</w:t>
      </w:r>
      <w:r w:rsidR="00261A1E" w:rsidRPr="00AF38A8">
        <w:rPr>
          <w:rFonts w:asciiTheme="minorHAnsi" w:eastAsiaTheme="minorHAnsi" w:hAnsiTheme="minorHAnsi" w:cstheme="minorHAnsi"/>
          <w:sz w:val="24"/>
          <w:szCs w:val="24"/>
        </w:rPr>
        <w:t xml:space="preserve"> </w:t>
      </w:r>
    </w:p>
    <w:p w14:paraId="5A314646"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Fino al 31 dicembre 2023</w:t>
      </w:r>
      <w:r w:rsidRPr="00AF38A8">
        <w:rPr>
          <w:rFonts w:asciiTheme="minorHAnsi" w:eastAsia="Times New Roman" w:hAnsiTheme="minorHAnsi" w:cstheme="minorHAnsi"/>
          <w:sz w:val="24"/>
          <w:szCs w:val="24"/>
        </w:rPr>
        <w:t>] Le spese obbligatorie relative alla pubblicazione del bando e dell’avviso sui risultati della procedura di affidamento sono a carico dell’aggiudicatario e devono essere rimborsate entro il termine di sessanta giorni dall’aggiudicazione con le seguenti modalità … [</w:t>
      </w:r>
      <w:r w:rsidRPr="00AF38A8">
        <w:rPr>
          <w:rFonts w:asciiTheme="minorHAnsi" w:eastAsia="Times New Roman" w:hAnsiTheme="minorHAnsi" w:cstheme="minorHAnsi"/>
          <w:i/>
          <w:sz w:val="24"/>
          <w:szCs w:val="24"/>
        </w:rPr>
        <w:t>indicare le modalità</w:t>
      </w:r>
      <w:r w:rsidRPr="00AF38A8">
        <w:rPr>
          <w:rFonts w:asciiTheme="minorHAnsi" w:eastAsia="Times New Roman" w:hAnsiTheme="minorHAnsi" w:cstheme="minorHAnsi"/>
          <w:sz w:val="24"/>
          <w:szCs w:val="24"/>
        </w:rPr>
        <w:t>]. L’importo massimo presunto delle spese obbligatorie di pubblicazione è pari a € … [</w:t>
      </w:r>
      <w:r w:rsidRPr="00AF38A8">
        <w:rPr>
          <w:rFonts w:asciiTheme="minorHAnsi" w:eastAsia="Times New Roman" w:hAnsiTheme="minorHAnsi" w:cstheme="minorHAnsi"/>
          <w:i/>
          <w:sz w:val="24"/>
          <w:szCs w:val="24"/>
        </w:rPr>
        <w:t>indicare l’importo presunto</w:t>
      </w:r>
      <w:r w:rsidRPr="00AF38A8">
        <w:rPr>
          <w:rFonts w:asciiTheme="minorHAnsi" w:eastAsia="Times New Roman" w:hAnsiTheme="minorHAnsi" w:cstheme="minorHAnsi"/>
          <w:sz w:val="24"/>
          <w:szCs w:val="24"/>
        </w:rPr>
        <w:t>]. Sono comunicati tempestivamente all’aggiudicatario eventuali scostamenti dall’importo indicato.</w:t>
      </w:r>
    </w:p>
    <w:p w14:paraId="0FC2D67D"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Sono a carico dell’aggiudicatario tutte le spese contrattuali, gli oneri fiscali quali imposte e tasse - ivi comprese quelle di registro ove dovute - relative alla stipulazione del contratto.</w:t>
      </w:r>
    </w:p>
    <w:p w14:paraId="03BD3CEE"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DD7382D"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211" w:name="bookmark=id.pkwqa1" w:colFirst="0" w:colLast="0"/>
      <w:bookmarkStart w:id="212" w:name="_Toc140929858"/>
      <w:bookmarkStart w:id="213" w:name="_Toc141027300"/>
      <w:bookmarkEnd w:id="211"/>
      <w:r w:rsidRPr="00AF38A8">
        <w:rPr>
          <w:rFonts w:asciiTheme="minorHAnsi" w:eastAsia="Times New Roman" w:hAnsiTheme="minorHAnsi" w:cstheme="minorHAnsi"/>
          <w:sz w:val="24"/>
          <w:szCs w:val="24"/>
        </w:rPr>
        <w:t>Obblighi relativi alla tracciabilità dei flussi finanziari</w:t>
      </w:r>
      <w:bookmarkEnd w:id="212"/>
      <w:bookmarkEnd w:id="213"/>
    </w:p>
    <w:p w14:paraId="1492D54A"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contratto d’appalto è soggetto agli obblighi in tema di tracciabilità dei flussi finanziari di cui alla legge 13 agosto 2010, n. 136.</w:t>
      </w:r>
    </w:p>
    <w:p w14:paraId="600D4189"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L’affidatario deve comunicare alla stazione appaltante:</w:t>
      </w:r>
    </w:p>
    <w:p w14:paraId="779813CF" w14:textId="77777777" w:rsidR="0076366E" w:rsidRPr="00AF38A8" w:rsidRDefault="00BA3D28" w:rsidP="00BD1359">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gli estremi identificativi dei conti correnti bancari o postali dedicati, con l'indicazione dell'opera/servizio/fornitura alla quale sono dedicati;</w:t>
      </w:r>
    </w:p>
    <w:p w14:paraId="203CF3BF" w14:textId="77777777" w:rsidR="0076366E" w:rsidRPr="00AF38A8" w:rsidRDefault="00BA3D28" w:rsidP="00BD1359">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generalità e il codice fiscale delle persone delegate ad operare sugli stessi;</w:t>
      </w:r>
    </w:p>
    <w:p w14:paraId="5D5FB07D" w14:textId="77777777" w:rsidR="0076366E" w:rsidRPr="00AF38A8" w:rsidRDefault="00BA3D28" w:rsidP="00BD1359">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ogni modifica relativa ai dati trasmessi.</w:t>
      </w:r>
    </w:p>
    <w:p w14:paraId="3B029DE7"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w:t>
      </w:r>
    </w:p>
    <w:p w14:paraId="6E706F5F"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mancato adempimento agli obblighi previsti per la tracciabilità dei flussi finanziari relativi all’appalto comporta la risoluzione di diritto del contratto.</w:t>
      </w:r>
    </w:p>
    <w:p w14:paraId="6A6D8226"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occasione di ogni pagamento all’appaltatore o di interventi di controllo ulteriori si procede alla verifica dell’assolvimento degli obblighi relativi alla tracciabilità dei flussi finanziari.</w:t>
      </w:r>
    </w:p>
    <w:p w14:paraId="0626E8B7"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1DBA6017"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2052142"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214" w:name="bookmark=id.1opuj5n" w:colFirst="0" w:colLast="0"/>
      <w:bookmarkStart w:id="215" w:name="_Toc140929859"/>
      <w:bookmarkStart w:id="216" w:name="_Toc141027301"/>
      <w:bookmarkEnd w:id="214"/>
      <w:r w:rsidRPr="00AF38A8">
        <w:rPr>
          <w:rFonts w:asciiTheme="minorHAnsi" w:eastAsia="Times New Roman" w:hAnsiTheme="minorHAnsi" w:cstheme="minorHAnsi"/>
          <w:sz w:val="24"/>
          <w:szCs w:val="24"/>
        </w:rPr>
        <w:t>Codice di comportamento</w:t>
      </w:r>
      <w:bookmarkEnd w:id="215"/>
      <w:bookmarkEnd w:id="216"/>
    </w:p>
    <w:p w14:paraId="69D99EB7"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Nello svolgimento delle attività oggetto del contratto di appalto, l’aggiudicatario [</w:t>
      </w:r>
      <w:r w:rsidRPr="00DE3951">
        <w:rPr>
          <w:rFonts w:asciiTheme="minorHAnsi" w:eastAsia="Times New Roman" w:hAnsiTheme="minorHAnsi" w:cstheme="minorHAnsi"/>
          <w:i/>
          <w:sz w:val="24"/>
          <w:szCs w:val="24"/>
        </w:rPr>
        <w:t>nel caso di più lotti: di ciascun lotto</w:t>
      </w:r>
      <w:r w:rsidRPr="00AF38A8">
        <w:rPr>
          <w:rFonts w:asciiTheme="minorHAnsi" w:eastAsia="Times New Roman" w:hAnsiTheme="minorHAnsi" w:cstheme="minorHAnsi"/>
          <w:sz w:val="24"/>
          <w:szCs w:val="24"/>
        </w:rPr>
        <w:t>] deve uniformarsi ai principi e, per quanto compatibili, ai doveri di condotta richiamati nel Decreto del Presidente della Repubblica 16 aprile 2013 n. 62 e nel codice di comportamento di questa stazione appaltante e [per le pubbliche amministrazioni] nel Piano Triennale di Prevenzione della Corruzione e della Trasparenza</w:t>
      </w:r>
      <w:r w:rsidRPr="00AF38A8">
        <w:rPr>
          <w:rFonts w:asciiTheme="minorHAnsi" w:eastAsia="Times New Roman" w:hAnsiTheme="minorHAnsi" w:cstheme="minorHAnsi"/>
          <w:i/>
          <w:sz w:val="24"/>
          <w:szCs w:val="24"/>
        </w:rPr>
        <w:t xml:space="preserve">, nonché [per le amministrazioni tenute alla redazione del PIAO]  </w:t>
      </w:r>
      <w:r w:rsidRPr="00AF38A8">
        <w:rPr>
          <w:rFonts w:asciiTheme="minorHAnsi" w:eastAsia="Times New Roman" w:hAnsiTheme="minorHAnsi" w:cstheme="minorHAnsi"/>
          <w:sz w:val="24"/>
          <w:szCs w:val="24"/>
        </w:rPr>
        <w:t>nella sottosezione Rischi corruttivi e trasparenza del PIAO] [negli altri casi nel Modello di organizzazione, gestione e controllo adottato dalla medesima ai sensi del decreto legislativo n. 231/01].</w:t>
      </w:r>
    </w:p>
    <w:p w14:paraId="5CAAC618"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217" w:name="_heading=h.1302m92" w:colFirst="0" w:colLast="0"/>
      <w:bookmarkEnd w:id="217"/>
      <w:r w:rsidRPr="00AF38A8">
        <w:rPr>
          <w:rFonts w:asciiTheme="minorHAnsi" w:eastAsia="Times New Roman" w:hAnsiTheme="minorHAnsi" w:cstheme="minorHAnsi"/>
          <w:sz w:val="24"/>
          <w:szCs w:val="24"/>
        </w:rPr>
        <w:t>In seguito alla comunicazione di aggiudicazione e prima della stipula del contratto, l’aggiudicatario [</w:t>
      </w:r>
      <w:r w:rsidRPr="00AF38A8">
        <w:rPr>
          <w:rFonts w:asciiTheme="minorHAnsi" w:eastAsia="Times New Roman" w:hAnsiTheme="minorHAnsi" w:cstheme="minorHAnsi"/>
          <w:i/>
          <w:sz w:val="24"/>
          <w:szCs w:val="24"/>
        </w:rPr>
        <w:t>nel caso di più lotti: di ciascun lotto</w:t>
      </w:r>
      <w:r w:rsidRPr="00AF38A8">
        <w:rPr>
          <w:rFonts w:asciiTheme="minorHAnsi" w:eastAsia="Times New Roman" w:hAnsiTheme="minorHAnsi" w:cstheme="minorHAnsi"/>
          <w:sz w:val="24"/>
          <w:szCs w:val="24"/>
        </w:rPr>
        <w:t>] ha l’onere di prendere visione dei predetti documenti pubblicati sul sito della stazione appaltante [</w:t>
      </w:r>
      <w:r w:rsidRPr="00AF38A8">
        <w:rPr>
          <w:rFonts w:asciiTheme="minorHAnsi" w:eastAsia="Times New Roman" w:hAnsiTheme="minorHAnsi" w:cstheme="minorHAnsi"/>
          <w:i/>
          <w:sz w:val="24"/>
          <w:szCs w:val="24"/>
        </w:rPr>
        <w:t>indicare il</w:t>
      </w:r>
      <w:bookmarkStart w:id="218" w:name="bookmark=id.2nusc19" w:colFirst="0" w:colLast="0"/>
      <w:bookmarkEnd w:id="218"/>
      <w:r w:rsidRPr="00AF38A8">
        <w:rPr>
          <w:rFonts w:asciiTheme="minorHAnsi" w:eastAsia="Times New Roman" w:hAnsiTheme="minorHAnsi" w:cstheme="minorHAnsi"/>
          <w:i/>
          <w:sz w:val="24"/>
          <w:szCs w:val="24"/>
        </w:rPr>
        <w:t xml:space="preserve"> link dove è possibile leggere i predetti documenti</w:t>
      </w:r>
      <w:r w:rsidRPr="00AF38A8">
        <w:rPr>
          <w:rFonts w:asciiTheme="minorHAnsi" w:eastAsia="Times New Roman" w:hAnsiTheme="minorHAnsi" w:cstheme="minorHAnsi"/>
          <w:sz w:val="24"/>
          <w:szCs w:val="24"/>
        </w:rPr>
        <w:t>].</w:t>
      </w:r>
    </w:p>
    <w:p w14:paraId="48AAEA60"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FEE4CB9"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219" w:name="_Toc139277065"/>
      <w:bookmarkStart w:id="220" w:name="_Toc140929861"/>
      <w:bookmarkStart w:id="221" w:name="_Toc141027303"/>
      <w:r w:rsidRPr="00AF38A8">
        <w:rPr>
          <w:rFonts w:asciiTheme="minorHAnsi" w:eastAsia="Times New Roman" w:hAnsiTheme="minorHAnsi" w:cstheme="minorHAnsi"/>
          <w:sz w:val="24"/>
          <w:szCs w:val="24"/>
        </w:rPr>
        <w:t>Accesso agli atti</w:t>
      </w:r>
      <w:bookmarkEnd w:id="219"/>
      <w:bookmarkEnd w:id="220"/>
      <w:bookmarkEnd w:id="221"/>
    </w:p>
    <w:p w14:paraId="54024BF8"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sz w:val="24"/>
          <w:szCs w:val="24"/>
        </w:rPr>
        <w:t>Fino al 31 dicembre 2023]</w:t>
      </w:r>
    </w:p>
    <w:p w14:paraId="77293F1C"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L’accesso agli atti della procedura è consentito nel rispetto di quanto previsto dall’articolo 53 del decreto legislativo n. 50/2016 e dalle vigenti disposizioni in materia di diritto di accesso ai documenti amministrativi secondo le seguenti modalità … [</w:t>
      </w:r>
      <w:r w:rsidRPr="00AF38A8">
        <w:rPr>
          <w:rFonts w:asciiTheme="minorHAnsi" w:eastAsia="Times New Roman" w:hAnsiTheme="minorHAnsi" w:cstheme="minorHAnsi"/>
          <w:i/>
          <w:sz w:val="24"/>
          <w:szCs w:val="24"/>
        </w:rPr>
        <w:t>indicare</w:t>
      </w:r>
      <w:r w:rsidRPr="00AF38A8">
        <w:rPr>
          <w:rFonts w:asciiTheme="minorHAnsi" w:eastAsia="Times New Roman" w:hAnsiTheme="minorHAnsi" w:cstheme="minorHAnsi"/>
          <w:sz w:val="24"/>
          <w:szCs w:val="24"/>
        </w:rPr>
        <w:t>].</w:t>
      </w:r>
    </w:p>
    <w:p w14:paraId="04670318" w14:textId="77777777" w:rsidR="0076366E" w:rsidRPr="00AF38A8" w:rsidRDefault="0076366E"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EEE752C"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lastRenderedPageBreak/>
        <w:t>[A decorrere dal 1° gennaio 2024]</w:t>
      </w:r>
    </w:p>
    <w:p w14:paraId="1D1227CD"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L’accesso agli atti della procedura è assicurato in modalità digitale mediante acquisizione diretta dei dati e delle informazioni inseriti nelle piattaforme di e-procurement, nel rispetto di quanto previsto dall’articolo 35 del Codice e dalle vigenti disposizioni in materia di diritto di accesso ai documenti amministrativi, secondo le modalità indicate all’articolo 36 del codice.</w:t>
      </w:r>
    </w:p>
    <w:p w14:paraId="5C8D9F0A"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sensi dell’art. 36, comma 6 del Codice, la stazione appaltante, qualora vi siano reiterati rigetti di istanze di oscuramento, può inoltrare segnalazione all’ANAC la quale può irrogare una sanzione pecuniaria nella misura stabilita dall’articolo 222, comma 9, ridotta alla metà nel caso di pagamento entro trenta giorni dalla contestazione.</w:t>
      </w:r>
    </w:p>
    <w:p w14:paraId="4044C9C6" w14:textId="77777777" w:rsidR="00830E90" w:rsidRPr="00AF38A8" w:rsidRDefault="00830E90"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D7324DB"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222" w:name="bookmark=id.2250f4o" w:colFirst="0" w:colLast="0"/>
      <w:bookmarkStart w:id="223" w:name="_Toc139277066"/>
      <w:bookmarkStart w:id="224" w:name="_Toc140929862"/>
      <w:bookmarkStart w:id="225" w:name="_Toc141027304"/>
      <w:bookmarkEnd w:id="222"/>
      <w:r w:rsidRPr="00AF38A8">
        <w:rPr>
          <w:rFonts w:asciiTheme="minorHAnsi" w:eastAsia="Times New Roman" w:hAnsiTheme="minorHAnsi" w:cstheme="minorHAnsi"/>
          <w:sz w:val="24"/>
          <w:szCs w:val="24"/>
        </w:rPr>
        <w:t>Definizione delle controversie</w:t>
      </w:r>
      <w:bookmarkEnd w:id="223"/>
      <w:bookmarkEnd w:id="224"/>
      <w:bookmarkEnd w:id="225"/>
    </w:p>
    <w:p w14:paraId="13632BF0" w14:textId="074A8069"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le controversie derivanti dalla presente procedura di gara è competente il Tribunale Amministrativo di ... [</w:t>
      </w:r>
      <w:r w:rsidRPr="00AF38A8">
        <w:rPr>
          <w:rFonts w:asciiTheme="minorHAnsi" w:eastAsia="Times New Roman" w:hAnsiTheme="minorHAnsi" w:cstheme="minorHAnsi"/>
          <w:i/>
          <w:sz w:val="24"/>
          <w:szCs w:val="24"/>
        </w:rPr>
        <w:t>indicare il Tribunale competente</w:t>
      </w:r>
      <w:r w:rsidRPr="00AF38A8">
        <w:rPr>
          <w:rFonts w:asciiTheme="minorHAnsi" w:eastAsia="Times New Roman" w:hAnsiTheme="minorHAnsi" w:cstheme="minorHAnsi"/>
          <w:sz w:val="24"/>
          <w:szCs w:val="24"/>
        </w:rPr>
        <w:t>].</w:t>
      </w:r>
    </w:p>
    <w:p w14:paraId="6056AD13" w14:textId="77777777" w:rsidR="0076366E" w:rsidRPr="00AF38A8" w:rsidRDefault="0076366E" w:rsidP="00BD1359">
      <w:pPr>
        <w:spacing w:line="276" w:lineRule="auto"/>
        <w:jc w:val="both"/>
        <w:rPr>
          <w:rFonts w:asciiTheme="minorHAnsi" w:eastAsia="Times New Roman" w:hAnsiTheme="minorHAnsi" w:cstheme="minorHAnsi"/>
          <w:sz w:val="24"/>
          <w:szCs w:val="24"/>
        </w:rPr>
      </w:pPr>
    </w:p>
    <w:p w14:paraId="783A8BE3" w14:textId="77777777" w:rsidR="0076366E" w:rsidRPr="00AF38A8" w:rsidRDefault="00BA3D28" w:rsidP="00BD1359">
      <w:pPr>
        <w:pStyle w:val="Titolo1"/>
        <w:numPr>
          <w:ilvl w:val="0"/>
          <w:numId w:val="18"/>
        </w:numPr>
        <w:spacing w:line="276" w:lineRule="auto"/>
        <w:jc w:val="left"/>
        <w:rPr>
          <w:rFonts w:asciiTheme="minorHAnsi" w:eastAsia="Times New Roman" w:hAnsiTheme="minorHAnsi" w:cstheme="minorHAnsi"/>
          <w:sz w:val="24"/>
          <w:szCs w:val="24"/>
        </w:rPr>
      </w:pPr>
      <w:bookmarkStart w:id="226" w:name="bookmark=id.319y80a" w:colFirst="0" w:colLast="0"/>
      <w:bookmarkStart w:id="227" w:name="_Toc139277067"/>
      <w:bookmarkStart w:id="228" w:name="_Toc140929863"/>
      <w:bookmarkStart w:id="229" w:name="_Toc141027305"/>
      <w:bookmarkEnd w:id="226"/>
      <w:r w:rsidRPr="00AF38A8">
        <w:rPr>
          <w:rFonts w:asciiTheme="minorHAnsi" w:eastAsia="Times New Roman" w:hAnsiTheme="minorHAnsi" w:cstheme="minorHAnsi"/>
          <w:sz w:val="24"/>
          <w:szCs w:val="24"/>
        </w:rPr>
        <w:t>Trattamento dei dati personali</w:t>
      </w:r>
      <w:bookmarkEnd w:id="227"/>
      <w:bookmarkEnd w:id="228"/>
      <w:bookmarkEnd w:id="229"/>
    </w:p>
    <w:p w14:paraId="7915896F" w14:textId="63D5C470"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dati raccolti sono trattati e conservati ai sensi del Regolamento UE n. 2016/679 relativo alla protezione delle persone fisiche con riguardo al trattamento dei dati personali, nonché alla libera circolazione di tali dati, del decreto legislativo 30 giugno 2003, n.196 recante il “Codice in materia di protezione dei dati personali” e ss mm e ii , del decreto della Presidenza del Consiglio dei Ministri n. 148/21 e dei relativi atti di attuazione. In particolare si forniscono le seguenti informazioni sul</w:t>
      </w:r>
    </w:p>
    <w:p w14:paraId="4A465ED6" w14:textId="77777777" w:rsidR="0076366E" w:rsidRPr="00AF38A8" w:rsidRDefault="00BA3D28" w:rsidP="00BD1359">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trattamento dei dati personali … [</w:t>
      </w:r>
      <w:r w:rsidRPr="00AF38A8">
        <w:rPr>
          <w:rFonts w:asciiTheme="minorHAnsi" w:eastAsia="Times New Roman" w:hAnsiTheme="minorHAnsi" w:cstheme="minorHAnsi"/>
          <w:i/>
          <w:sz w:val="24"/>
          <w:szCs w:val="24"/>
        </w:rPr>
        <w:t>indicare le informazioni sul trattamento dei dati personali dovute in considerazione delle specificità del singolo appalto, della stazione appaltante, dei suoi rapporti con il gestore della piattaforma, delle caratteristiche tecniche della piattaforma utilizzata. Tali informazioni devono riguardare, in particolare: a) la finalità del trattamento; b) la base giuridica e natura del conferimento dei dati; c) la natura dei dati trattati; d) le modalità del trattamento dei dati; e) l’ambito di comunicazione e di diffusione dei dati; f) l’ambito di comunicazione e di diffusione dei dati; g) periodo di conservazione dei dati; h) i diritti del concorrente/interessato; i) il titolare del trattamento e responsabile della protezione dei dati</w:t>
      </w:r>
      <w:r w:rsidRPr="00AF38A8">
        <w:rPr>
          <w:rFonts w:asciiTheme="minorHAnsi" w:eastAsia="Times New Roman" w:hAnsiTheme="minorHAnsi" w:cstheme="minorHAnsi"/>
          <w:sz w:val="24"/>
          <w:szCs w:val="24"/>
        </w:rPr>
        <w:t>].</w:t>
      </w:r>
    </w:p>
    <w:bookmarkEnd w:id="34"/>
    <w:p w14:paraId="0A5E656D" w14:textId="502CEF3F" w:rsidR="0076366E" w:rsidRPr="00AF38A8" w:rsidRDefault="00BA3D28" w:rsidP="00117522">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alternativa</w:t>
      </w:r>
      <w:r w:rsidRPr="00AF38A8">
        <w:rPr>
          <w:rFonts w:asciiTheme="minorHAnsi" w:eastAsia="Times New Roman" w:hAnsiTheme="minorHAnsi" w:cstheme="minorHAnsi"/>
          <w:sz w:val="24"/>
          <w:szCs w:val="24"/>
        </w:rPr>
        <w:t>] I dati raccolti sono trattati e conservati ai sensi del Regolamento UE n. 2016/679 relativo alla protezione delle persone fisiche con riguardo al trattamento dei dati personali, nonché alla libera circolazione di tali dati, del decreto legislativo 30 giugno 2003, n. 196 recante il “Codice in materia di protezione dei dati personali” e ss mm e ii, del decreto della Presidenza del Consiglio dei Ministri n. 148/</w:t>
      </w:r>
      <w:r w:rsidR="008A4442">
        <w:rPr>
          <w:rFonts w:asciiTheme="minorHAnsi" w:eastAsia="Times New Roman" w:hAnsiTheme="minorHAnsi" w:cstheme="minorHAnsi"/>
          <w:sz w:val="24"/>
          <w:szCs w:val="24"/>
        </w:rPr>
        <w:t>20</w:t>
      </w:r>
      <w:r w:rsidRPr="00AF38A8">
        <w:rPr>
          <w:rFonts w:asciiTheme="minorHAnsi" w:eastAsia="Times New Roman" w:hAnsiTheme="minorHAnsi" w:cstheme="minorHAnsi"/>
          <w:sz w:val="24"/>
          <w:szCs w:val="24"/>
        </w:rPr>
        <w:t>21 e dei relativi atti di attuazione secondo quanto riportato nell’apposita scheda informativa allegata alla documentazione di gara sub … [</w:t>
      </w:r>
      <w:r w:rsidRPr="00AF38A8">
        <w:rPr>
          <w:rFonts w:asciiTheme="minorHAnsi" w:eastAsia="Times New Roman" w:hAnsiTheme="minorHAnsi" w:cstheme="minorHAnsi"/>
          <w:i/>
          <w:sz w:val="24"/>
          <w:szCs w:val="24"/>
        </w:rPr>
        <w:t>indicare il numero dell’allegato</w:t>
      </w:r>
      <w:r w:rsidRPr="00AF38A8">
        <w:rPr>
          <w:rFonts w:asciiTheme="minorHAnsi" w:eastAsia="Times New Roman" w:hAnsiTheme="minorHAnsi" w:cstheme="minorHAnsi"/>
          <w:sz w:val="24"/>
          <w:szCs w:val="24"/>
        </w:rPr>
        <w:t>].</w:t>
      </w:r>
    </w:p>
    <w:sectPr w:rsidR="0076366E" w:rsidRPr="00AF38A8">
      <w:footerReference w:type="default" r:id="rId11"/>
      <w:pgSz w:w="11910" w:h="16840"/>
      <w:pgMar w:top="1417" w:right="1134" w:bottom="1134" w:left="1134" w:header="683" w:footer="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5526" w14:textId="77777777" w:rsidR="00906A9D" w:rsidRDefault="00906A9D">
      <w:r>
        <w:separator/>
      </w:r>
    </w:p>
  </w:endnote>
  <w:endnote w:type="continuationSeparator" w:id="0">
    <w:p w14:paraId="068126EA" w14:textId="77777777" w:rsidR="00906A9D" w:rsidRDefault="0090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tillium">
    <w:altName w:val="Calibri"/>
    <w:panose1 w:val="020B0604020202020204"/>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4D"/>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rowallia New">
    <w:panose1 w:val="020B06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6795" w14:textId="77777777" w:rsidR="00B1466F" w:rsidRDefault="00B1466F">
    <w:pPr>
      <w:pBdr>
        <w:top w:val="nil"/>
        <w:left w:val="nil"/>
        <w:bottom w:val="nil"/>
        <w:right w:val="nil"/>
        <w:between w:val="nil"/>
      </w:pBdr>
      <w:tabs>
        <w:tab w:val="center" w:pos="4819"/>
        <w:tab w:val="right" w:pos="9638"/>
      </w:tabs>
      <w:jc w:val="right"/>
      <w:rPr>
        <w:rFonts w:ascii="Browallia New" w:eastAsia="Browallia New" w:hAnsi="Browallia New" w:cs="Browallia New"/>
        <w:color w:val="000000"/>
      </w:rPr>
    </w:pPr>
    <w:r>
      <w:rPr>
        <w:rFonts w:ascii="Browallia New" w:eastAsia="Browallia New" w:hAnsi="Browallia New" w:cs="Browallia New"/>
        <w:color w:val="000000"/>
      </w:rPr>
      <w:fldChar w:fldCharType="begin"/>
    </w:r>
    <w:r>
      <w:rPr>
        <w:rFonts w:ascii="Browallia New" w:eastAsia="Browallia New" w:hAnsi="Browallia New" w:cs="Browallia New"/>
        <w:color w:val="000000"/>
      </w:rPr>
      <w:instrText>PAGE</w:instrText>
    </w:r>
    <w:r>
      <w:rPr>
        <w:rFonts w:ascii="Browallia New" w:eastAsia="Browallia New" w:hAnsi="Browallia New" w:cs="Browallia New"/>
        <w:color w:val="000000"/>
      </w:rPr>
      <w:fldChar w:fldCharType="separate"/>
    </w:r>
    <w:r>
      <w:rPr>
        <w:rFonts w:ascii="Browallia New" w:eastAsia="Browallia New" w:hAnsi="Browallia New" w:cs="Browallia New"/>
        <w:noProof/>
        <w:color w:val="000000"/>
      </w:rPr>
      <w:t>2</w:t>
    </w:r>
    <w:r>
      <w:rPr>
        <w:rFonts w:ascii="Browallia New" w:eastAsia="Browallia New" w:hAnsi="Browallia New" w:cs="Browallia New"/>
        <w:color w:val="000000"/>
      </w:rPr>
      <w:fldChar w:fldCharType="end"/>
    </w:r>
  </w:p>
  <w:p w14:paraId="0346900E" w14:textId="77777777" w:rsidR="00B1466F" w:rsidRDefault="00B1466F">
    <w:pPr>
      <w:pBdr>
        <w:top w:val="nil"/>
        <w:left w:val="nil"/>
        <w:bottom w:val="nil"/>
        <w:right w:val="nil"/>
        <w:between w:val="nil"/>
      </w:pBdr>
      <w:spacing w:line="14" w:lineRule="auto"/>
      <w:rPr>
        <w:color w:val="000000"/>
        <w:sz w:val="17"/>
        <w:szCs w:val="17"/>
      </w:rPr>
    </w:pPr>
  </w:p>
  <w:p w14:paraId="45112328" w14:textId="77777777" w:rsidR="00B1466F" w:rsidRDefault="00B1466F"/>
  <w:p w14:paraId="3D7E869B" w14:textId="77777777" w:rsidR="00B1466F" w:rsidRDefault="00B1466F"/>
  <w:p w14:paraId="39FEC752" w14:textId="77777777" w:rsidR="00B1466F" w:rsidRDefault="00B146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3ED0" w14:textId="77777777" w:rsidR="00906A9D" w:rsidRDefault="00906A9D">
      <w:r>
        <w:separator/>
      </w:r>
    </w:p>
  </w:footnote>
  <w:footnote w:type="continuationSeparator" w:id="0">
    <w:p w14:paraId="6A169070" w14:textId="77777777" w:rsidR="00906A9D" w:rsidRDefault="00906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AF"/>
    <w:multiLevelType w:val="multilevel"/>
    <w:tmpl w:val="5186E6C2"/>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258E2"/>
    <w:multiLevelType w:val="hybridMultilevel"/>
    <w:tmpl w:val="A4585664"/>
    <w:lvl w:ilvl="0" w:tplc="2F76092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DB6CEA"/>
    <w:multiLevelType w:val="multilevel"/>
    <w:tmpl w:val="AD22801E"/>
    <w:lvl w:ilvl="0">
      <w:start w:val="1"/>
      <w:numFmt w:val="upperLetter"/>
      <w:lvlText w:val="%1."/>
      <w:lvlJc w:val="left"/>
      <w:pPr>
        <w:ind w:left="427" w:hanging="285"/>
      </w:pPr>
      <w:rPr>
        <w:rFonts w:asciiTheme="minorHAnsi" w:eastAsia="Times New Roman" w:hAnsiTheme="minorHAnsi" w:cstheme="minorHAnsi" w:hint="default"/>
        <w:b/>
        <w:sz w:val="24"/>
        <w:szCs w:val="24"/>
      </w:rPr>
    </w:lvl>
    <w:lvl w:ilvl="1">
      <w:numFmt w:val="bullet"/>
      <w:lvlText w:val="•"/>
      <w:lvlJc w:val="left"/>
      <w:pPr>
        <w:ind w:left="1516" w:hanging="285"/>
      </w:pPr>
    </w:lvl>
    <w:lvl w:ilvl="2">
      <w:numFmt w:val="bullet"/>
      <w:lvlText w:val="•"/>
      <w:lvlJc w:val="left"/>
      <w:pPr>
        <w:ind w:left="2512" w:hanging="285"/>
      </w:pPr>
    </w:lvl>
    <w:lvl w:ilvl="3">
      <w:numFmt w:val="bullet"/>
      <w:lvlText w:val="•"/>
      <w:lvlJc w:val="left"/>
      <w:pPr>
        <w:ind w:left="3509" w:hanging="285"/>
      </w:pPr>
    </w:lvl>
    <w:lvl w:ilvl="4">
      <w:numFmt w:val="bullet"/>
      <w:lvlText w:val="•"/>
      <w:lvlJc w:val="left"/>
      <w:pPr>
        <w:ind w:left="4505" w:hanging="285"/>
      </w:pPr>
    </w:lvl>
    <w:lvl w:ilvl="5">
      <w:numFmt w:val="bullet"/>
      <w:lvlText w:val="•"/>
      <w:lvlJc w:val="left"/>
      <w:pPr>
        <w:ind w:left="5502" w:hanging="285"/>
      </w:pPr>
    </w:lvl>
    <w:lvl w:ilvl="6">
      <w:numFmt w:val="bullet"/>
      <w:lvlText w:val="•"/>
      <w:lvlJc w:val="left"/>
      <w:pPr>
        <w:ind w:left="6498" w:hanging="285"/>
      </w:pPr>
    </w:lvl>
    <w:lvl w:ilvl="7">
      <w:numFmt w:val="bullet"/>
      <w:lvlText w:val="•"/>
      <w:lvlJc w:val="left"/>
      <w:pPr>
        <w:ind w:left="7495" w:hanging="285"/>
      </w:pPr>
    </w:lvl>
    <w:lvl w:ilvl="8">
      <w:numFmt w:val="bullet"/>
      <w:lvlText w:val="•"/>
      <w:lvlJc w:val="left"/>
      <w:pPr>
        <w:ind w:left="8491" w:hanging="285"/>
      </w:pPr>
    </w:lvl>
  </w:abstractNum>
  <w:abstractNum w:abstractNumId="3" w15:restartNumberingAfterBreak="0">
    <w:nsid w:val="153A1706"/>
    <w:multiLevelType w:val="multilevel"/>
    <w:tmpl w:val="142C1A9E"/>
    <w:lvl w:ilvl="0">
      <w:start w:val="1"/>
      <w:numFmt w:val="lowerLetter"/>
      <w:lvlText w:val="%1)"/>
      <w:lvlJc w:val="left"/>
      <w:pPr>
        <w:ind w:left="362" w:hanging="360"/>
      </w:pPr>
      <w:rPr>
        <w:b/>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4" w15:restartNumberingAfterBreak="0">
    <w:nsid w:val="16B43B5B"/>
    <w:multiLevelType w:val="multilevel"/>
    <w:tmpl w:val="9AB244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CC172F"/>
    <w:multiLevelType w:val="multilevel"/>
    <w:tmpl w:val="26AAA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E2578E"/>
    <w:multiLevelType w:val="multilevel"/>
    <w:tmpl w:val="6380C5B6"/>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777ED2"/>
    <w:multiLevelType w:val="multilevel"/>
    <w:tmpl w:val="30E4EF2C"/>
    <w:lvl w:ilvl="0">
      <w:numFmt w:val="bullet"/>
      <w:lvlText w:val="-"/>
      <w:lvlJc w:val="left"/>
      <w:pPr>
        <w:ind w:left="720" w:hanging="360"/>
      </w:pPr>
      <w:rPr>
        <w:rFonts w:ascii="Cambria" w:eastAsia="Cambria" w:hAnsi="Cambria" w:cs="Cambria"/>
        <w:b/>
        <w:sz w:val="24"/>
        <w:szCs w:val="24"/>
      </w:rPr>
    </w:lvl>
    <w:lvl w:ilvl="1">
      <w:numFmt w:val="bullet"/>
      <w:lvlText w:val="-"/>
      <w:lvlJc w:val="left"/>
      <w:pPr>
        <w:ind w:left="1440" w:hanging="360"/>
      </w:pPr>
      <w:rPr>
        <w:rFonts w:ascii="Cambria" w:eastAsia="Cambria" w:hAnsi="Cambria" w:cs="Cambria"/>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F011D6"/>
    <w:multiLevelType w:val="multilevel"/>
    <w:tmpl w:val="D42C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F32FEB"/>
    <w:multiLevelType w:val="multilevel"/>
    <w:tmpl w:val="16EEE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7654AB"/>
    <w:multiLevelType w:val="multilevel"/>
    <w:tmpl w:val="DC927F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15647D"/>
    <w:multiLevelType w:val="multilevel"/>
    <w:tmpl w:val="AA4254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323392"/>
    <w:multiLevelType w:val="multilevel"/>
    <w:tmpl w:val="2716B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CA0CCB"/>
    <w:multiLevelType w:val="multilevel"/>
    <w:tmpl w:val="24ECF5F6"/>
    <w:lvl w:ilvl="0">
      <w:start w:val="1"/>
      <w:numFmt w:val="lowerLetter"/>
      <w:lvlText w:val="%1)"/>
      <w:lvlJc w:val="left"/>
      <w:pPr>
        <w:ind w:left="928" w:hanging="360"/>
      </w:pPr>
      <w:rPr>
        <w:rFonts w:asciiTheme="minorHAnsi" w:hAnsiTheme="minorHAnsi" w:cstheme="minorHAnsi" w:hint="default"/>
        <w:i w:val="0"/>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1746AA8"/>
    <w:multiLevelType w:val="multilevel"/>
    <w:tmpl w:val="142C1A9E"/>
    <w:lvl w:ilvl="0">
      <w:start w:val="1"/>
      <w:numFmt w:val="lowerLetter"/>
      <w:lvlText w:val="%1)"/>
      <w:lvlJc w:val="left"/>
      <w:pPr>
        <w:ind w:left="362" w:hanging="360"/>
      </w:pPr>
      <w:rPr>
        <w:b/>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15" w15:restartNumberingAfterBreak="0">
    <w:nsid w:val="33DD71D9"/>
    <w:multiLevelType w:val="multilevel"/>
    <w:tmpl w:val="D76E3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BD7C34"/>
    <w:multiLevelType w:val="multilevel"/>
    <w:tmpl w:val="53D22BEE"/>
    <w:lvl w:ilvl="0">
      <w:numFmt w:val="bullet"/>
      <w:lvlText w:val="-"/>
      <w:lvlJc w:val="left"/>
      <w:pPr>
        <w:ind w:left="1080" w:hanging="360"/>
      </w:pPr>
      <w:rPr>
        <w:rFonts w:ascii="Cambria" w:eastAsia="Cambria" w:hAnsi="Cambria" w:cs="Cambria"/>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A9D5BE1"/>
    <w:multiLevelType w:val="multilevel"/>
    <w:tmpl w:val="3F4E2894"/>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FC1F68"/>
    <w:multiLevelType w:val="multilevel"/>
    <w:tmpl w:val="345AF1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45C429D"/>
    <w:multiLevelType w:val="multilevel"/>
    <w:tmpl w:val="8A78BB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A7486E"/>
    <w:multiLevelType w:val="multilevel"/>
    <w:tmpl w:val="C8FA9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CE2B93"/>
    <w:multiLevelType w:val="multilevel"/>
    <w:tmpl w:val="F364ECBA"/>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Titillium" w:eastAsia="Times New Roman" w:hAnsi="Titillium" w:cs="Calibri" w:hint="default"/>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6C2ACB"/>
    <w:multiLevelType w:val="multilevel"/>
    <w:tmpl w:val="AB4E3B76"/>
    <w:lvl w:ilvl="0">
      <w:start w:val="1"/>
      <w:numFmt w:val="lowerLetter"/>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7984AEC"/>
    <w:multiLevelType w:val="multilevel"/>
    <w:tmpl w:val="E44E0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B63547F"/>
    <w:multiLevelType w:val="multilevel"/>
    <w:tmpl w:val="99F4D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64FBB"/>
    <w:multiLevelType w:val="hybridMultilevel"/>
    <w:tmpl w:val="A4585664"/>
    <w:lvl w:ilvl="0" w:tplc="2F76092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7334D8"/>
    <w:multiLevelType w:val="multilevel"/>
    <w:tmpl w:val="0526FE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3B77C2"/>
    <w:multiLevelType w:val="hybridMultilevel"/>
    <w:tmpl w:val="A4585664"/>
    <w:lvl w:ilvl="0" w:tplc="2F76092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3B08BA"/>
    <w:multiLevelType w:val="multilevel"/>
    <w:tmpl w:val="E6D657C6"/>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2B023F"/>
    <w:multiLevelType w:val="multilevel"/>
    <w:tmpl w:val="96D4C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6361F3"/>
    <w:multiLevelType w:val="multilevel"/>
    <w:tmpl w:val="E09E8BEA"/>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FD70E19"/>
    <w:multiLevelType w:val="multilevel"/>
    <w:tmpl w:val="F5D6C7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0377B87"/>
    <w:multiLevelType w:val="multilevel"/>
    <w:tmpl w:val="5F1C48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CD2F71"/>
    <w:multiLevelType w:val="multilevel"/>
    <w:tmpl w:val="7A9AD8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22E3982"/>
    <w:multiLevelType w:val="multilevel"/>
    <w:tmpl w:val="F63A9F0E"/>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5606B32"/>
    <w:multiLevelType w:val="multilevel"/>
    <w:tmpl w:val="40C655B6"/>
    <w:lvl w:ilvl="0">
      <w:start w:val="1"/>
      <w:numFmt w:val="lowerLetter"/>
      <w:lvlText w:val="%1)"/>
      <w:lvlJc w:val="left"/>
      <w:pPr>
        <w:ind w:left="1440" w:hanging="360"/>
      </w:pPr>
      <w:rPr>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6731524"/>
    <w:multiLevelType w:val="hybridMultilevel"/>
    <w:tmpl w:val="5366E8AC"/>
    <w:lvl w:ilvl="0" w:tplc="D86C2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85E277D"/>
    <w:multiLevelType w:val="hybridMultilevel"/>
    <w:tmpl w:val="229885CC"/>
    <w:lvl w:ilvl="0" w:tplc="B094B5F4">
      <w:numFmt w:val="bullet"/>
      <w:lvlText w:val="-"/>
      <w:lvlJc w:val="left"/>
      <w:pPr>
        <w:ind w:left="720" w:hanging="360"/>
      </w:pPr>
      <w:rPr>
        <w:rFonts w:ascii="Cambria" w:eastAsia="Cambria" w:hAnsi="Cambria" w:cs="Cambria" w:hint="default"/>
        <w:b/>
        <w:bCs/>
        <w:w w:val="82"/>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317D18"/>
    <w:multiLevelType w:val="multilevel"/>
    <w:tmpl w:val="ABE4F42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CE1484"/>
    <w:multiLevelType w:val="multilevel"/>
    <w:tmpl w:val="89F0571A"/>
    <w:lvl w:ilvl="0">
      <w:numFmt w:val="bullet"/>
      <w:lvlText w:val="-"/>
      <w:lvlJc w:val="left"/>
      <w:pPr>
        <w:ind w:left="720" w:hanging="360"/>
      </w:pPr>
      <w:rPr>
        <w:rFonts w:ascii="Cambria" w:eastAsia="Cambria" w:hAnsi="Cambria" w:cs="Cambria"/>
        <w:b/>
        <w:sz w:val="24"/>
        <w:szCs w:val="24"/>
      </w:rPr>
    </w:lvl>
    <w:lvl w:ilvl="1">
      <w:start w:val="1"/>
      <w:numFmt w:val="upperRoman"/>
      <w:lvlText w:val="%2."/>
      <w:lvlJc w:val="left"/>
      <w:pPr>
        <w:ind w:left="1440" w:hanging="360"/>
      </w:pPr>
      <w:rPr>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492A5B"/>
    <w:multiLevelType w:val="multilevel"/>
    <w:tmpl w:val="26249D7A"/>
    <w:lvl w:ilvl="0">
      <w:start w:val="1"/>
      <w:numFmt w:val="decimal"/>
      <w:lvlText w:val="%1."/>
      <w:lvlJc w:val="left"/>
      <w:pPr>
        <w:ind w:left="358" w:hanging="358"/>
      </w:pPr>
      <w:rPr>
        <w:rFonts w:asciiTheme="minorHAnsi" w:eastAsia="Times New Roman" w:hAnsiTheme="minorHAnsi" w:cstheme="minorHAnsi" w:hint="default"/>
        <w:b/>
        <w:color w:val="auto"/>
        <w:sz w:val="24"/>
        <w:szCs w:val="24"/>
      </w:rPr>
    </w:lvl>
    <w:lvl w:ilvl="1">
      <w:start w:val="1"/>
      <w:numFmt w:val="decimal"/>
      <w:lvlText w:val="%1.%2"/>
      <w:lvlJc w:val="left"/>
      <w:pPr>
        <w:ind w:left="426" w:hanging="426"/>
      </w:pPr>
      <w:rPr>
        <w:rFonts w:asciiTheme="minorHAnsi" w:eastAsia="Times New Roman" w:hAnsiTheme="minorHAnsi" w:cstheme="minorHAnsi" w:hint="default"/>
        <w:b/>
        <w:sz w:val="24"/>
        <w:szCs w:val="24"/>
        <w:shd w:val="clear" w:color="auto" w:fill="auto"/>
      </w:rPr>
    </w:lvl>
    <w:lvl w:ilvl="2">
      <w:start w:val="1"/>
      <w:numFmt w:val="lowerLetter"/>
      <w:lvlText w:val="%3."/>
      <w:lvlJc w:val="left"/>
      <w:pPr>
        <w:ind w:left="569" w:hanging="285"/>
      </w:pPr>
      <w:rPr>
        <w:rFonts w:ascii="Cambria" w:eastAsia="Cambria" w:hAnsi="Cambria" w:cs="Cambria"/>
        <w:sz w:val="24"/>
        <w:szCs w:val="24"/>
      </w:rPr>
    </w:lvl>
    <w:lvl w:ilvl="3">
      <w:numFmt w:val="bullet"/>
      <w:lvlText w:val="•"/>
      <w:lvlJc w:val="left"/>
      <w:pPr>
        <w:ind w:left="568" w:hanging="285"/>
      </w:pPr>
    </w:lvl>
    <w:lvl w:ilvl="4">
      <w:numFmt w:val="bullet"/>
      <w:lvlText w:val="•"/>
      <w:lvlJc w:val="left"/>
      <w:pPr>
        <w:ind w:left="1951" w:hanging="285"/>
      </w:pPr>
    </w:lvl>
    <w:lvl w:ilvl="5">
      <w:numFmt w:val="bullet"/>
      <w:lvlText w:val="•"/>
      <w:lvlJc w:val="left"/>
      <w:pPr>
        <w:ind w:left="3334" w:hanging="285"/>
      </w:pPr>
    </w:lvl>
    <w:lvl w:ilvl="6">
      <w:numFmt w:val="bullet"/>
      <w:lvlText w:val="•"/>
      <w:lvlJc w:val="left"/>
      <w:pPr>
        <w:ind w:left="4718" w:hanging="285"/>
      </w:pPr>
    </w:lvl>
    <w:lvl w:ilvl="7">
      <w:numFmt w:val="bullet"/>
      <w:lvlText w:val="•"/>
      <w:lvlJc w:val="left"/>
      <w:pPr>
        <w:ind w:left="6101" w:hanging="285"/>
      </w:pPr>
    </w:lvl>
    <w:lvl w:ilvl="8">
      <w:numFmt w:val="bullet"/>
      <w:lvlText w:val="•"/>
      <w:lvlJc w:val="left"/>
      <w:pPr>
        <w:ind w:left="7485" w:hanging="285"/>
      </w:pPr>
    </w:lvl>
  </w:abstractNum>
  <w:abstractNum w:abstractNumId="41" w15:restartNumberingAfterBreak="0">
    <w:nsid w:val="758A7092"/>
    <w:multiLevelType w:val="multilevel"/>
    <w:tmpl w:val="CDF0F1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D05F90"/>
    <w:multiLevelType w:val="multilevel"/>
    <w:tmpl w:val="E42868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77633F2"/>
    <w:multiLevelType w:val="multilevel"/>
    <w:tmpl w:val="15F246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E0468D"/>
    <w:multiLevelType w:val="multilevel"/>
    <w:tmpl w:val="98383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B05120"/>
    <w:multiLevelType w:val="hybridMultilevel"/>
    <w:tmpl w:val="F7D2E0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7BF532F7"/>
    <w:multiLevelType w:val="multilevel"/>
    <w:tmpl w:val="142C1A9E"/>
    <w:lvl w:ilvl="0">
      <w:start w:val="1"/>
      <w:numFmt w:val="lowerLetter"/>
      <w:lvlText w:val="%1)"/>
      <w:lvlJc w:val="left"/>
      <w:pPr>
        <w:ind w:left="362" w:hanging="360"/>
      </w:pPr>
      <w:rPr>
        <w:b/>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47" w15:restartNumberingAfterBreak="0">
    <w:nsid w:val="7DA8719A"/>
    <w:multiLevelType w:val="multilevel"/>
    <w:tmpl w:val="EF3ED36A"/>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16cid:durableId="685325275">
    <w:abstractNumId w:val="0"/>
  </w:num>
  <w:num w:numId="2" w16cid:durableId="1835997196">
    <w:abstractNumId w:val="11"/>
  </w:num>
  <w:num w:numId="3" w16cid:durableId="582643718">
    <w:abstractNumId w:val="5"/>
  </w:num>
  <w:num w:numId="4" w16cid:durableId="1831359734">
    <w:abstractNumId w:val="41"/>
  </w:num>
  <w:num w:numId="5" w16cid:durableId="1763793302">
    <w:abstractNumId w:val="8"/>
  </w:num>
  <w:num w:numId="6" w16cid:durableId="949823308">
    <w:abstractNumId w:val="7"/>
  </w:num>
  <w:num w:numId="7" w16cid:durableId="1163086174">
    <w:abstractNumId w:val="44"/>
  </w:num>
  <w:num w:numId="8" w16cid:durableId="667172494">
    <w:abstractNumId w:val="14"/>
  </w:num>
  <w:num w:numId="9" w16cid:durableId="978454778">
    <w:abstractNumId w:val="22"/>
  </w:num>
  <w:num w:numId="10" w16cid:durableId="478767111">
    <w:abstractNumId w:val="33"/>
  </w:num>
  <w:num w:numId="11" w16cid:durableId="2017418858">
    <w:abstractNumId w:val="30"/>
  </w:num>
  <w:num w:numId="12" w16cid:durableId="1533883388">
    <w:abstractNumId w:val="38"/>
  </w:num>
  <w:num w:numId="13" w16cid:durableId="339553707">
    <w:abstractNumId w:val="29"/>
  </w:num>
  <w:num w:numId="14" w16cid:durableId="1850413728">
    <w:abstractNumId w:val="19"/>
  </w:num>
  <w:num w:numId="15" w16cid:durableId="1292830171">
    <w:abstractNumId w:val="17"/>
  </w:num>
  <w:num w:numId="16" w16cid:durableId="1505321235">
    <w:abstractNumId w:val="10"/>
  </w:num>
  <w:num w:numId="17" w16cid:durableId="831943069">
    <w:abstractNumId w:val="42"/>
  </w:num>
  <w:num w:numId="18" w16cid:durableId="1377852284">
    <w:abstractNumId w:val="40"/>
  </w:num>
  <w:num w:numId="19" w16cid:durableId="1921329556">
    <w:abstractNumId w:val="16"/>
  </w:num>
  <w:num w:numId="20" w16cid:durableId="951745409">
    <w:abstractNumId w:val="35"/>
  </w:num>
  <w:num w:numId="21" w16cid:durableId="688990806">
    <w:abstractNumId w:val="28"/>
  </w:num>
  <w:num w:numId="22" w16cid:durableId="796141156">
    <w:abstractNumId w:val="43"/>
  </w:num>
  <w:num w:numId="23" w16cid:durableId="2017076596">
    <w:abstractNumId w:val="6"/>
  </w:num>
  <w:num w:numId="24" w16cid:durableId="1646277611">
    <w:abstractNumId w:val="9"/>
  </w:num>
  <w:num w:numId="25" w16cid:durableId="1960725478">
    <w:abstractNumId w:val="24"/>
  </w:num>
  <w:num w:numId="26" w16cid:durableId="704795920">
    <w:abstractNumId w:val="18"/>
  </w:num>
  <w:num w:numId="27" w16cid:durableId="1823620668">
    <w:abstractNumId w:val="3"/>
  </w:num>
  <w:num w:numId="28" w16cid:durableId="1662848045">
    <w:abstractNumId w:val="46"/>
  </w:num>
  <w:num w:numId="29" w16cid:durableId="1452817590">
    <w:abstractNumId w:val="45"/>
  </w:num>
  <w:num w:numId="30" w16cid:durableId="1352223676">
    <w:abstractNumId w:val="20"/>
  </w:num>
  <w:num w:numId="31" w16cid:durableId="874002416">
    <w:abstractNumId w:val="36"/>
  </w:num>
  <w:num w:numId="32" w16cid:durableId="1430618090">
    <w:abstractNumId w:val="21"/>
  </w:num>
  <w:num w:numId="33" w16cid:durableId="1294167612">
    <w:abstractNumId w:val="2"/>
  </w:num>
  <w:num w:numId="34" w16cid:durableId="1550918654">
    <w:abstractNumId w:val="31"/>
  </w:num>
  <w:num w:numId="35" w16cid:durableId="968239906">
    <w:abstractNumId w:val="23"/>
  </w:num>
  <w:num w:numId="36" w16cid:durableId="1273439976">
    <w:abstractNumId w:val="39"/>
  </w:num>
  <w:num w:numId="37" w16cid:durableId="1760103628">
    <w:abstractNumId w:val="25"/>
  </w:num>
  <w:num w:numId="38" w16cid:durableId="507253567">
    <w:abstractNumId w:val="27"/>
  </w:num>
  <w:num w:numId="39" w16cid:durableId="1905793546">
    <w:abstractNumId w:val="1"/>
  </w:num>
  <w:num w:numId="40" w16cid:durableId="762192792">
    <w:abstractNumId w:val="26"/>
  </w:num>
  <w:num w:numId="41" w16cid:durableId="339048436">
    <w:abstractNumId w:val="15"/>
  </w:num>
  <w:num w:numId="42" w16cid:durableId="1419790749">
    <w:abstractNumId w:val="47"/>
  </w:num>
  <w:num w:numId="43" w16cid:durableId="1805733966">
    <w:abstractNumId w:val="32"/>
  </w:num>
  <w:num w:numId="44" w16cid:durableId="1923179077">
    <w:abstractNumId w:val="37"/>
  </w:num>
  <w:num w:numId="45" w16cid:durableId="53700178">
    <w:abstractNumId w:val="34"/>
  </w:num>
  <w:num w:numId="46" w16cid:durableId="2175061">
    <w:abstractNumId w:val="4"/>
  </w:num>
  <w:num w:numId="47" w16cid:durableId="466701906">
    <w:abstractNumId w:val="12"/>
  </w:num>
  <w:num w:numId="48" w16cid:durableId="122201684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6E"/>
    <w:rsid w:val="00003BD8"/>
    <w:rsid w:val="0002441D"/>
    <w:rsid w:val="0002453D"/>
    <w:rsid w:val="0002625D"/>
    <w:rsid w:val="00037374"/>
    <w:rsid w:val="00037526"/>
    <w:rsid w:val="00037FB4"/>
    <w:rsid w:val="0004141F"/>
    <w:rsid w:val="00050686"/>
    <w:rsid w:val="00052B50"/>
    <w:rsid w:val="000534EB"/>
    <w:rsid w:val="0005567E"/>
    <w:rsid w:val="0006114D"/>
    <w:rsid w:val="00062FBD"/>
    <w:rsid w:val="00066FEA"/>
    <w:rsid w:val="00070E3C"/>
    <w:rsid w:val="00071AC4"/>
    <w:rsid w:val="00073D87"/>
    <w:rsid w:val="00081DBD"/>
    <w:rsid w:val="00091B5C"/>
    <w:rsid w:val="00097D20"/>
    <w:rsid w:val="000A2873"/>
    <w:rsid w:val="000A5686"/>
    <w:rsid w:val="000A5C57"/>
    <w:rsid w:val="000A6587"/>
    <w:rsid w:val="000B1724"/>
    <w:rsid w:val="000B3718"/>
    <w:rsid w:val="000B7EF6"/>
    <w:rsid w:val="000D2596"/>
    <w:rsid w:val="000D4D70"/>
    <w:rsid w:val="000D7AFA"/>
    <w:rsid w:val="000E2375"/>
    <w:rsid w:val="000E4D8A"/>
    <w:rsid w:val="000F11E2"/>
    <w:rsid w:val="000F528F"/>
    <w:rsid w:val="000F7B00"/>
    <w:rsid w:val="00104B4E"/>
    <w:rsid w:val="0011005C"/>
    <w:rsid w:val="001111FC"/>
    <w:rsid w:val="001135D4"/>
    <w:rsid w:val="00117522"/>
    <w:rsid w:val="001239A2"/>
    <w:rsid w:val="0015067E"/>
    <w:rsid w:val="00152B96"/>
    <w:rsid w:val="00157D8E"/>
    <w:rsid w:val="0016033F"/>
    <w:rsid w:val="00163D94"/>
    <w:rsid w:val="0017120E"/>
    <w:rsid w:val="001745C0"/>
    <w:rsid w:val="001839BB"/>
    <w:rsid w:val="001916EC"/>
    <w:rsid w:val="001A3A58"/>
    <w:rsid w:val="001A7B02"/>
    <w:rsid w:val="001B00A0"/>
    <w:rsid w:val="001B14F1"/>
    <w:rsid w:val="001B3A4D"/>
    <w:rsid w:val="001B4905"/>
    <w:rsid w:val="001C0C64"/>
    <w:rsid w:val="001C2D93"/>
    <w:rsid w:val="001C4A9B"/>
    <w:rsid w:val="001C5D9F"/>
    <w:rsid w:val="001C6649"/>
    <w:rsid w:val="001D1490"/>
    <w:rsid w:val="001D7AF5"/>
    <w:rsid w:val="001D7F02"/>
    <w:rsid w:val="001E555F"/>
    <w:rsid w:val="001F172C"/>
    <w:rsid w:val="001F1932"/>
    <w:rsid w:val="001F5B31"/>
    <w:rsid w:val="0020079A"/>
    <w:rsid w:val="002009CD"/>
    <w:rsid w:val="00201785"/>
    <w:rsid w:val="002035A3"/>
    <w:rsid w:val="00204215"/>
    <w:rsid w:val="0020690A"/>
    <w:rsid w:val="002118E3"/>
    <w:rsid w:val="00212127"/>
    <w:rsid w:val="00212C16"/>
    <w:rsid w:val="00213DA7"/>
    <w:rsid w:val="00227A14"/>
    <w:rsid w:val="00233B2F"/>
    <w:rsid w:val="00250D93"/>
    <w:rsid w:val="002600B8"/>
    <w:rsid w:val="00261A1E"/>
    <w:rsid w:val="00263C63"/>
    <w:rsid w:val="0028046C"/>
    <w:rsid w:val="00282292"/>
    <w:rsid w:val="00285959"/>
    <w:rsid w:val="002907A4"/>
    <w:rsid w:val="00292CE9"/>
    <w:rsid w:val="002A53A6"/>
    <w:rsid w:val="002B5D71"/>
    <w:rsid w:val="002C00DF"/>
    <w:rsid w:val="002C21E1"/>
    <w:rsid w:val="002C2540"/>
    <w:rsid w:val="002D0B91"/>
    <w:rsid w:val="002D4AD2"/>
    <w:rsid w:val="002D5891"/>
    <w:rsid w:val="002E43A8"/>
    <w:rsid w:val="002E660D"/>
    <w:rsid w:val="002F221D"/>
    <w:rsid w:val="002F322E"/>
    <w:rsid w:val="002F52FC"/>
    <w:rsid w:val="00304B1E"/>
    <w:rsid w:val="00307663"/>
    <w:rsid w:val="00311ED9"/>
    <w:rsid w:val="003169F5"/>
    <w:rsid w:val="00321CD4"/>
    <w:rsid w:val="00321EAB"/>
    <w:rsid w:val="003274FA"/>
    <w:rsid w:val="003336A4"/>
    <w:rsid w:val="003372A8"/>
    <w:rsid w:val="00342022"/>
    <w:rsid w:val="003473FE"/>
    <w:rsid w:val="00351FF5"/>
    <w:rsid w:val="003602BC"/>
    <w:rsid w:val="00365F44"/>
    <w:rsid w:val="003728EB"/>
    <w:rsid w:val="003801BB"/>
    <w:rsid w:val="00385AE3"/>
    <w:rsid w:val="003874CD"/>
    <w:rsid w:val="003A0BA8"/>
    <w:rsid w:val="003A2CA7"/>
    <w:rsid w:val="003A3687"/>
    <w:rsid w:val="003A56F2"/>
    <w:rsid w:val="003B2FD9"/>
    <w:rsid w:val="003C1C47"/>
    <w:rsid w:val="003C73E6"/>
    <w:rsid w:val="003F0DEF"/>
    <w:rsid w:val="003F6FF3"/>
    <w:rsid w:val="003F7091"/>
    <w:rsid w:val="00402FCF"/>
    <w:rsid w:val="004126CB"/>
    <w:rsid w:val="00414F33"/>
    <w:rsid w:val="00415225"/>
    <w:rsid w:val="004179EA"/>
    <w:rsid w:val="0042017A"/>
    <w:rsid w:val="00420586"/>
    <w:rsid w:val="00420D30"/>
    <w:rsid w:val="004336CA"/>
    <w:rsid w:val="00434521"/>
    <w:rsid w:val="00442122"/>
    <w:rsid w:val="00442A19"/>
    <w:rsid w:val="00443EB5"/>
    <w:rsid w:val="004464E4"/>
    <w:rsid w:val="00452F2C"/>
    <w:rsid w:val="00455964"/>
    <w:rsid w:val="00456C27"/>
    <w:rsid w:val="00466F6F"/>
    <w:rsid w:val="00472673"/>
    <w:rsid w:val="00472988"/>
    <w:rsid w:val="004749B2"/>
    <w:rsid w:val="00492B3A"/>
    <w:rsid w:val="004A292D"/>
    <w:rsid w:val="004A6C14"/>
    <w:rsid w:val="004A7E59"/>
    <w:rsid w:val="004B5208"/>
    <w:rsid w:val="004B5FF9"/>
    <w:rsid w:val="004C0049"/>
    <w:rsid w:val="004C5C2A"/>
    <w:rsid w:val="004C6277"/>
    <w:rsid w:val="004C6A1E"/>
    <w:rsid w:val="004D044C"/>
    <w:rsid w:val="004D1AC2"/>
    <w:rsid w:val="004D20F1"/>
    <w:rsid w:val="004E30FA"/>
    <w:rsid w:val="004E77B5"/>
    <w:rsid w:val="004F21FF"/>
    <w:rsid w:val="004F54B0"/>
    <w:rsid w:val="00500204"/>
    <w:rsid w:val="00504062"/>
    <w:rsid w:val="00511252"/>
    <w:rsid w:val="00521E00"/>
    <w:rsid w:val="005232C0"/>
    <w:rsid w:val="00525C2E"/>
    <w:rsid w:val="00525E08"/>
    <w:rsid w:val="00531EA4"/>
    <w:rsid w:val="005372AC"/>
    <w:rsid w:val="00543DA4"/>
    <w:rsid w:val="00544D17"/>
    <w:rsid w:val="00551CFE"/>
    <w:rsid w:val="005569AF"/>
    <w:rsid w:val="005577D2"/>
    <w:rsid w:val="00562536"/>
    <w:rsid w:val="005665F7"/>
    <w:rsid w:val="005704BD"/>
    <w:rsid w:val="005705C7"/>
    <w:rsid w:val="00571E0A"/>
    <w:rsid w:val="005721B5"/>
    <w:rsid w:val="0057388A"/>
    <w:rsid w:val="0058225A"/>
    <w:rsid w:val="00584E25"/>
    <w:rsid w:val="00586E20"/>
    <w:rsid w:val="005961D8"/>
    <w:rsid w:val="005B475E"/>
    <w:rsid w:val="005C1205"/>
    <w:rsid w:val="005C56C3"/>
    <w:rsid w:val="005C7991"/>
    <w:rsid w:val="005F46E8"/>
    <w:rsid w:val="005F6EF4"/>
    <w:rsid w:val="005F742A"/>
    <w:rsid w:val="006010A5"/>
    <w:rsid w:val="0060347B"/>
    <w:rsid w:val="00606CF6"/>
    <w:rsid w:val="00613687"/>
    <w:rsid w:val="00635339"/>
    <w:rsid w:val="00643BA4"/>
    <w:rsid w:val="0064655B"/>
    <w:rsid w:val="00652154"/>
    <w:rsid w:val="00662F95"/>
    <w:rsid w:val="00665D42"/>
    <w:rsid w:val="00670557"/>
    <w:rsid w:val="00673F2B"/>
    <w:rsid w:val="006760F0"/>
    <w:rsid w:val="00681213"/>
    <w:rsid w:val="006816F4"/>
    <w:rsid w:val="00683AAD"/>
    <w:rsid w:val="00684487"/>
    <w:rsid w:val="0068588B"/>
    <w:rsid w:val="00686C8D"/>
    <w:rsid w:val="00694E06"/>
    <w:rsid w:val="00695005"/>
    <w:rsid w:val="00697AC2"/>
    <w:rsid w:val="006A01D9"/>
    <w:rsid w:val="006A5C37"/>
    <w:rsid w:val="006B4F5F"/>
    <w:rsid w:val="006C0A29"/>
    <w:rsid w:val="006C0F2C"/>
    <w:rsid w:val="006C2DA3"/>
    <w:rsid w:val="006C7341"/>
    <w:rsid w:val="006D397A"/>
    <w:rsid w:val="006D3C2B"/>
    <w:rsid w:val="006F09F2"/>
    <w:rsid w:val="006F7339"/>
    <w:rsid w:val="00704B28"/>
    <w:rsid w:val="007051F6"/>
    <w:rsid w:val="007070C4"/>
    <w:rsid w:val="00707359"/>
    <w:rsid w:val="00713042"/>
    <w:rsid w:val="00731256"/>
    <w:rsid w:val="0074583F"/>
    <w:rsid w:val="0076366E"/>
    <w:rsid w:val="00784836"/>
    <w:rsid w:val="00786A69"/>
    <w:rsid w:val="00792399"/>
    <w:rsid w:val="00797E64"/>
    <w:rsid w:val="007A1C48"/>
    <w:rsid w:val="007A3DAF"/>
    <w:rsid w:val="007A701D"/>
    <w:rsid w:val="007C0712"/>
    <w:rsid w:val="007C52A8"/>
    <w:rsid w:val="007D425A"/>
    <w:rsid w:val="007E0244"/>
    <w:rsid w:val="007E35F7"/>
    <w:rsid w:val="007E54C0"/>
    <w:rsid w:val="007F23C2"/>
    <w:rsid w:val="0080356C"/>
    <w:rsid w:val="00803ECA"/>
    <w:rsid w:val="00824236"/>
    <w:rsid w:val="008279DF"/>
    <w:rsid w:val="00830E90"/>
    <w:rsid w:val="008369AB"/>
    <w:rsid w:val="00844441"/>
    <w:rsid w:val="0084689E"/>
    <w:rsid w:val="00846A3C"/>
    <w:rsid w:val="00852F70"/>
    <w:rsid w:val="008556B2"/>
    <w:rsid w:val="008646AC"/>
    <w:rsid w:val="008671FE"/>
    <w:rsid w:val="008837FB"/>
    <w:rsid w:val="008954D3"/>
    <w:rsid w:val="00896EA9"/>
    <w:rsid w:val="008A4017"/>
    <w:rsid w:val="008A4442"/>
    <w:rsid w:val="008A7602"/>
    <w:rsid w:val="008B7F5D"/>
    <w:rsid w:val="008C7F7B"/>
    <w:rsid w:val="008D24C0"/>
    <w:rsid w:val="008E62E0"/>
    <w:rsid w:val="00906A9D"/>
    <w:rsid w:val="00911D26"/>
    <w:rsid w:val="00932A5F"/>
    <w:rsid w:val="00950C1F"/>
    <w:rsid w:val="009555D7"/>
    <w:rsid w:val="00955DEF"/>
    <w:rsid w:val="0095618C"/>
    <w:rsid w:val="00957A12"/>
    <w:rsid w:val="00962976"/>
    <w:rsid w:val="00971BE2"/>
    <w:rsid w:val="009751EC"/>
    <w:rsid w:val="009819EB"/>
    <w:rsid w:val="00982972"/>
    <w:rsid w:val="00983A99"/>
    <w:rsid w:val="009A2E21"/>
    <w:rsid w:val="009B40DA"/>
    <w:rsid w:val="009C1C58"/>
    <w:rsid w:val="009D2B36"/>
    <w:rsid w:val="009E0F8D"/>
    <w:rsid w:val="009E3F27"/>
    <w:rsid w:val="009E6219"/>
    <w:rsid w:val="009F019F"/>
    <w:rsid w:val="009F335F"/>
    <w:rsid w:val="009F3922"/>
    <w:rsid w:val="00A01734"/>
    <w:rsid w:val="00A05C0D"/>
    <w:rsid w:val="00A16751"/>
    <w:rsid w:val="00A253D7"/>
    <w:rsid w:val="00A276A9"/>
    <w:rsid w:val="00A37808"/>
    <w:rsid w:val="00A43EB8"/>
    <w:rsid w:val="00A7116A"/>
    <w:rsid w:val="00A71794"/>
    <w:rsid w:val="00A73CBE"/>
    <w:rsid w:val="00A842B8"/>
    <w:rsid w:val="00A86D96"/>
    <w:rsid w:val="00A91201"/>
    <w:rsid w:val="00AA2500"/>
    <w:rsid w:val="00AA751F"/>
    <w:rsid w:val="00AB0DC4"/>
    <w:rsid w:val="00AC283B"/>
    <w:rsid w:val="00AC7561"/>
    <w:rsid w:val="00AD2239"/>
    <w:rsid w:val="00AD5D36"/>
    <w:rsid w:val="00AE62F8"/>
    <w:rsid w:val="00AF38A8"/>
    <w:rsid w:val="00AF38F5"/>
    <w:rsid w:val="00B0100C"/>
    <w:rsid w:val="00B050C8"/>
    <w:rsid w:val="00B13FBF"/>
    <w:rsid w:val="00B1466F"/>
    <w:rsid w:val="00B23953"/>
    <w:rsid w:val="00B33D3B"/>
    <w:rsid w:val="00B3644B"/>
    <w:rsid w:val="00B4196B"/>
    <w:rsid w:val="00B46156"/>
    <w:rsid w:val="00B54C3C"/>
    <w:rsid w:val="00B571C0"/>
    <w:rsid w:val="00B62EB7"/>
    <w:rsid w:val="00B66B9A"/>
    <w:rsid w:val="00B72649"/>
    <w:rsid w:val="00B7764A"/>
    <w:rsid w:val="00B822AB"/>
    <w:rsid w:val="00B834C9"/>
    <w:rsid w:val="00B842C8"/>
    <w:rsid w:val="00B84AC2"/>
    <w:rsid w:val="00B87C99"/>
    <w:rsid w:val="00BA2B2F"/>
    <w:rsid w:val="00BA3D28"/>
    <w:rsid w:val="00BB3C97"/>
    <w:rsid w:val="00BB4B78"/>
    <w:rsid w:val="00BB51E7"/>
    <w:rsid w:val="00BC0291"/>
    <w:rsid w:val="00BC1810"/>
    <w:rsid w:val="00BC3B22"/>
    <w:rsid w:val="00BC5C05"/>
    <w:rsid w:val="00BC7242"/>
    <w:rsid w:val="00BD1359"/>
    <w:rsid w:val="00BD4953"/>
    <w:rsid w:val="00BD6C43"/>
    <w:rsid w:val="00BD7218"/>
    <w:rsid w:val="00BE08E0"/>
    <w:rsid w:val="00BE526A"/>
    <w:rsid w:val="00BF3100"/>
    <w:rsid w:val="00C03661"/>
    <w:rsid w:val="00C03846"/>
    <w:rsid w:val="00C04101"/>
    <w:rsid w:val="00C05C36"/>
    <w:rsid w:val="00C16400"/>
    <w:rsid w:val="00C2101D"/>
    <w:rsid w:val="00C23767"/>
    <w:rsid w:val="00C24672"/>
    <w:rsid w:val="00C3056E"/>
    <w:rsid w:val="00C3750F"/>
    <w:rsid w:val="00C51A99"/>
    <w:rsid w:val="00C63B7A"/>
    <w:rsid w:val="00C76222"/>
    <w:rsid w:val="00C7730F"/>
    <w:rsid w:val="00C90E27"/>
    <w:rsid w:val="00C91132"/>
    <w:rsid w:val="00C93EE4"/>
    <w:rsid w:val="00C94FD3"/>
    <w:rsid w:val="00C95634"/>
    <w:rsid w:val="00CB6205"/>
    <w:rsid w:val="00CC1F1C"/>
    <w:rsid w:val="00CC435B"/>
    <w:rsid w:val="00CD4B8E"/>
    <w:rsid w:val="00CD5E37"/>
    <w:rsid w:val="00CD6A16"/>
    <w:rsid w:val="00CD7ECF"/>
    <w:rsid w:val="00CE392D"/>
    <w:rsid w:val="00CE7054"/>
    <w:rsid w:val="00CF1D27"/>
    <w:rsid w:val="00D061F3"/>
    <w:rsid w:val="00D11CAB"/>
    <w:rsid w:val="00D1720B"/>
    <w:rsid w:val="00D21F54"/>
    <w:rsid w:val="00D237C7"/>
    <w:rsid w:val="00D24E98"/>
    <w:rsid w:val="00D276B6"/>
    <w:rsid w:val="00D36A54"/>
    <w:rsid w:val="00D427AC"/>
    <w:rsid w:val="00D4343B"/>
    <w:rsid w:val="00D52DF2"/>
    <w:rsid w:val="00D555C5"/>
    <w:rsid w:val="00D62D8E"/>
    <w:rsid w:val="00D6582F"/>
    <w:rsid w:val="00D85447"/>
    <w:rsid w:val="00D87F17"/>
    <w:rsid w:val="00D970B4"/>
    <w:rsid w:val="00D97964"/>
    <w:rsid w:val="00DA0107"/>
    <w:rsid w:val="00DA3C84"/>
    <w:rsid w:val="00DA7BD6"/>
    <w:rsid w:val="00DC6F3B"/>
    <w:rsid w:val="00DD747D"/>
    <w:rsid w:val="00DE2A9B"/>
    <w:rsid w:val="00DE3951"/>
    <w:rsid w:val="00DE5DEC"/>
    <w:rsid w:val="00DE7A21"/>
    <w:rsid w:val="00DF32B6"/>
    <w:rsid w:val="00E03202"/>
    <w:rsid w:val="00E06555"/>
    <w:rsid w:val="00E152E8"/>
    <w:rsid w:val="00E15C3C"/>
    <w:rsid w:val="00E16294"/>
    <w:rsid w:val="00E16FB8"/>
    <w:rsid w:val="00E2022B"/>
    <w:rsid w:val="00E24918"/>
    <w:rsid w:val="00E44551"/>
    <w:rsid w:val="00E4498F"/>
    <w:rsid w:val="00E45460"/>
    <w:rsid w:val="00E46084"/>
    <w:rsid w:val="00E46C70"/>
    <w:rsid w:val="00E47545"/>
    <w:rsid w:val="00E47635"/>
    <w:rsid w:val="00E5208F"/>
    <w:rsid w:val="00E529BA"/>
    <w:rsid w:val="00E538CA"/>
    <w:rsid w:val="00E60341"/>
    <w:rsid w:val="00E61979"/>
    <w:rsid w:val="00E64C3F"/>
    <w:rsid w:val="00E64FA6"/>
    <w:rsid w:val="00E765E2"/>
    <w:rsid w:val="00E86061"/>
    <w:rsid w:val="00E86493"/>
    <w:rsid w:val="00E96DFB"/>
    <w:rsid w:val="00EA67E3"/>
    <w:rsid w:val="00EB0F99"/>
    <w:rsid w:val="00EB4034"/>
    <w:rsid w:val="00EB499B"/>
    <w:rsid w:val="00EB4CD5"/>
    <w:rsid w:val="00EC50EB"/>
    <w:rsid w:val="00EC5736"/>
    <w:rsid w:val="00EC6DD6"/>
    <w:rsid w:val="00ED2FF6"/>
    <w:rsid w:val="00ED374C"/>
    <w:rsid w:val="00EE02AC"/>
    <w:rsid w:val="00EE7DC4"/>
    <w:rsid w:val="00EF0C54"/>
    <w:rsid w:val="00EF7E02"/>
    <w:rsid w:val="00F00012"/>
    <w:rsid w:val="00F04926"/>
    <w:rsid w:val="00F26624"/>
    <w:rsid w:val="00F32A18"/>
    <w:rsid w:val="00F667BD"/>
    <w:rsid w:val="00F718B7"/>
    <w:rsid w:val="00F72524"/>
    <w:rsid w:val="00F72BF8"/>
    <w:rsid w:val="00F82BFD"/>
    <w:rsid w:val="00F82CCB"/>
    <w:rsid w:val="00F85256"/>
    <w:rsid w:val="00F8786B"/>
    <w:rsid w:val="00F95656"/>
    <w:rsid w:val="00FA196B"/>
    <w:rsid w:val="00FA3098"/>
    <w:rsid w:val="00FB35EE"/>
    <w:rsid w:val="00FC4645"/>
    <w:rsid w:val="00FD523C"/>
    <w:rsid w:val="00FD66EC"/>
    <w:rsid w:val="00FE08A5"/>
    <w:rsid w:val="00FE704E"/>
    <w:rsid w:val="00FE7A30"/>
    <w:rsid w:val="00FF0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E5ED"/>
  <w15:docId w15:val="{5732E4CC-14FD-459D-A6AF-85E783C8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6B30"/>
  </w:style>
  <w:style w:type="paragraph" w:styleId="Titolo1">
    <w:name w:val="heading 1"/>
    <w:basedOn w:val="Normale"/>
    <w:uiPriority w:val="9"/>
    <w:qFormat/>
    <w:pPr>
      <w:spacing w:before="77"/>
      <w:ind w:left="301"/>
      <w:jc w:val="center"/>
      <w:outlineLvl w:val="0"/>
    </w:pPr>
    <w:rPr>
      <w:b/>
      <w:bCs/>
      <w:sz w:val="28"/>
      <w:szCs w:val="28"/>
    </w:rPr>
  </w:style>
  <w:style w:type="paragraph" w:styleId="Titolo2">
    <w:name w:val="heading 2"/>
    <w:basedOn w:val="Normale"/>
    <w:link w:val="Titolo2Carattere"/>
    <w:uiPriority w:val="9"/>
    <w:unhideWhenUsed/>
    <w:qFormat/>
    <w:pPr>
      <w:ind w:left="591"/>
      <w:outlineLvl w:val="1"/>
    </w:pPr>
    <w:rPr>
      <w:b/>
      <w:bCs/>
      <w:sz w:val="24"/>
      <w:szCs w:val="24"/>
    </w:rPr>
  </w:style>
  <w:style w:type="paragraph" w:styleId="Titolo3">
    <w:name w:val="heading 3"/>
    <w:basedOn w:val="Normale"/>
    <w:uiPriority w:val="9"/>
    <w:semiHidden/>
    <w:unhideWhenUsed/>
    <w:qFormat/>
    <w:pPr>
      <w:ind w:left="234"/>
      <w:outlineLvl w:val="2"/>
    </w:pPr>
    <w:rPr>
      <w:b/>
      <w:bCs/>
      <w:i/>
      <w:iCs/>
      <w:sz w:val="24"/>
      <w:szCs w:val="24"/>
    </w:rPr>
  </w:style>
  <w:style w:type="paragraph" w:styleId="Titolo4">
    <w:name w:val="heading 4"/>
    <w:basedOn w:val="Normale"/>
    <w:link w:val="Titolo4Carattere"/>
    <w:uiPriority w:val="9"/>
    <w:semiHidden/>
    <w:unhideWhenUsed/>
    <w:qFormat/>
    <w:pPr>
      <w:ind w:left="228"/>
      <w:jc w:val="both"/>
      <w:outlineLvl w:val="3"/>
    </w:pPr>
    <w:rPr>
      <w:rFonts w:ascii="Trebuchet MS" w:eastAsia="Trebuchet MS" w:hAnsi="Trebuchet MS" w:cs="Trebuchet MS"/>
      <w:b/>
      <w:bCs/>
      <w:i/>
      <w:iCs/>
      <w:sz w:val="18"/>
      <w:szCs w:val="1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78"/>
      <w:ind w:left="96" w:right="748"/>
      <w:jc w:val="center"/>
    </w:pPr>
    <w:rPr>
      <w:rFonts w:ascii="Times New Roman" w:eastAsia="Times New Roman" w:hAnsi="Times New Roman" w:cs="Times New Roman"/>
      <w:b/>
      <w:bCs/>
      <w:i/>
      <w:iCs/>
      <w:sz w:val="50"/>
      <w:szCs w:val="5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4Carattere">
    <w:name w:val="Titolo 4 Carattere"/>
    <w:basedOn w:val="Carpredefinitoparagrafo"/>
    <w:link w:val="Titolo4"/>
    <w:uiPriority w:val="9"/>
    <w:rPr>
      <w:rFonts w:ascii="Trebuchet MS" w:eastAsia="Trebuchet MS" w:hAnsi="Trebuchet MS" w:cs="Trebuchet MS"/>
      <w:b/>
      <w:bCs/>
      <w:i/>
      <w:iCs/>
      <w:sz w:val="18"/>
      <w:szCs w:val="18"/>
      <w:lang w:val="it-IT"/>
    </w:r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rsid w:val="00414F33"/>
    <w:pPr>
      <w:spacing w:before="50"/>
    </w:pPr>
    <w:rPr>
      <w:rFonts w:asciiTheme="minorHAnsi" w:hAnsiTheme="minorHAnsi"/>
      <w:b/>
      <w:bCs/>
    </w:rPr>
  </w:style>
  <w:style w:type="paragraph" w:styleId="Sommario2">
    <w:name w:val="toc 2"/>
    <w:basedOn w:val="Normale"/>
    <w:uiPriority w:val="39"/>
    <w:qFormat/>
    <w:rsid w:val="00414F33"/>
    <w:pPr>
      <w:spacing w:before="106"/>
      <w:ind w:left="674" w:hanging="441"/>
    </w:pPr>
    <w:rPr>
      <w:rFonts w:asciiTheme="minorHAnsi" w:hAnsiTheme="minorHAnsi"/>
      <w:b/>
      <w:i/>
      <w:sz w:val="20"/>
      <w:szCs w:val="20"/>
    </w:rPr>
  </w:style>
  <w:style w:type="paragraph" w:styleId="Sommario3">
    <w:name w:val="toc 3"/>
    <w:basedOn w:val="Normale"/>
    <w:uiPriority w:val="39"/>
    <w:qFormat/>
    <w:rsid w:val="00765F41"/>
    <w:pPr>
      <w:spacing w:before="46"/>
      <w:ind w:left="1130" w:hanging="456"/>
    </w:pPr>
    <w:rPr>
      <w:rFonts w:ascii="Arial Narrow" w:hAnsi="Arial Narrow"/>
      <w:b/>
      <w:i/>
      <w:color w:val="215868" w:themeColor="accent5" w:themeShade="80"/>
      <w:sz w:val="20"/>
      <w:szCs w:val="20"/>
    </w:r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aliases w:val="Punto elenco 1,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34"/>
    <w:qFormat/>
    <w:pPr>
      <w:spacing w:before="116"/>
      <w:ind w:left="518" w:hanging="285"/>
    </w:pPr>
  </w:style>
  <w:style w:type="character" w:customStyle="1" w:styleId="ParagrafoelencoCarattere">
    <w:name w:val="Paragrafo elenco Carattere"/>
    <w:aliases w:val="Punto elenco 1 Carattere,Bullet edison Carattere,Paragrafo elenco 2 Carattere,Bullet List Carattere,FooterText Carattere,numbered Carattere,Paragraphe de liste1 Carattere,Bulletr List Paragraph Carattere,列出段落 Carattere"/>
    <w:link w:val="Paragrafoelenco"/>
    <w:uiPriority w:val="1"/>
    <w:qFormat/>
    <w:locked/>
    <w:rsid w:val="004F3048"/>
    <w:rPr>
      <w:rFonts w:ascii="Cambria" w:eastAsia="Cambria" w:hAnsi="Cambria" w:cs="Cambria"/>
      <w:lang w:val="it-IT"/>
    </w:rPr>
  </w:style>
  <w:style w:type="paragraph" w:customStyle="1" w:styleId="TableParagraph">
    <w:name w:val="Table Paragraph"/>
    <w:basedOn w:val="Normale"/>
    <w:uiPriority w:val="1"/>
    <w:qFormat/>
    <w:pPr>
      <w:jc w:val="center"/>
    </w:pPr>
  </w:style>
  <w:style w:type="paragraph" w:styleId="Testofumetto">
    <w:name w:val="Balloon Text"/>
    <w:basedOn w:val="Normale"/>
    <w:link w:val="TestofumettoCarattere"/>
    <w:uiPriority w:val="99"/>
    <w:semiHidden/>
    <w:unhideWhenUsed/>
    <w:rsid w:val="004F30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3048"/>
    <w:rPr>
      <w:rFonts w:ascii="Segoe UI" w:eastAsia="Cambria" w:hAnsi="Segoe UI" w:cs="Segoe UI"/>
      <w:sz w:val="18"/>
      <w:szCs w:val="18"/>
      <w:lang w:val="it-IT"/>
    </w:rPr>
  </w:style>
  <w:style w:type="paragraph" w:styleId="Testonotaapidipagina">
    <w:name w:val="footnote text"/>
    <w:basedOn w:val="Normale"/>
    <w:link w:val="TestonotaapidipaginaCarattere"/>
    <w:uiPriority w:val="99"/>
    <w:semiHidden/>
    <w:unhideWhenUsed/>
    <w:rsid w:val="004F3048"/>
    <w:pPr>
      <w:widowControl/>
      <w:spacing w:after="160" w:line="259"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4F3048"/>
    <w:rPr>
      <w:sz w:val="20"/>
      <w:szCs w:val="20"/>
      <w:lang w:val="it-IT"/>
    </w:rPr>
  </w:style>
  <w:style w:type="character" w:styleId="Rimandonotaapidipagina">
    <w:name w:val="footnote reference"/>
    <w:aliases w:val="fr,Footnote Refernece,BVI fnr,callout,16 Point,Superscript 6 Point,Footnote Reference Superscript,Ref,de nota al pie,-E Fußnotenzeichen,number,SUPERS,EN Footnote Reference,-E Fuﬂnotenzeichen,-E Fuûnotenzeichen,Footnote numbe"/>
    <w:uiPriority w:val="99"/>
    <w:qFormat/>
    <w:rsid w:val="004F3048"/>
    <w:rPr>
      <w:rFonts w:ascii="Arial" w:hAnsi="Arial"/>
      <w:b/>
      <w:sz w:val="40"/>
      <w:bdr w:val="none" w:sz="0" w:space="0" w:color="auto"/>
      <w:shd w:val="clear" w:color="auto" w:fill="00FFFF"/>
      <w:vertAlign w:val="superscript"/>
    </w:rPr>
  </w:style>
  <w:style w:type="paragraph" w:customStyle="1" w:styleId="CM38">
    <w:name w:val="CM38"/>
    <w:basedOn w:val="Normale"/>
    <w:next w:val="Normale"/>
    <w:uiPriority w:val="99"/>
    <w:rsid w:val="004F3048"/>
    <w:pPr>
      <w:adjustRightInd w:val="0"/>
    </w:pPr>
    <w:rPr>
      <w:rFonts w:ascii="Kunstler Script" w:eastAsiaTheme="minorEastAsia" w:hAnsi="Kunstler Script" w:cstheme="minorBidi"/>
      <w:sz w:val="24"/>
      <w:szCs w:val="24"/>
    </w:rPr>
  </w:style>
  <w:style w:type="table" w:styleId="Grigliatabella">
    <w:name w:val="Table Grid"/>
    <w:basedOn w:val="Tabellanormale"/>
    <w:uiPriority w:val="39"/>
    <w:rsid w:val="004F304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qFormat/>
    <w:rsid w:val="004F3048"/>
    <w:pPr>
      <w:widowControl/>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4F3048"/>
    <w:rPr>
      <w:color w:val="0000FF"/>
      <w:u w:val="single"/>
    </w:rPr>
  </w:style>
  <w:style w:type="paragraph" w:customStyle="1" w:styleId="blog-view-item-share">
    <w:name w:val="blog-view-item-share"/>
    <w:basedOn w:val="Normale"/>
    <w:rsid w:val="00F854A6"/>
    <w:pPr>
      <w:widowControl/>
      <w:spacing w:before="100" w:beforeAutospacing="1" w:after="100" w:afterAutospacing="1"/>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88134C"/>
    <w:pPr>
      <w:tabs>
        <w:tab w:val="center" w:pos="4819"/>
        <w:tab w:val="right" w:pos="9638"/>
      </w:tabs>
    </w:pPr>
  </w:style>
  <w:style w:type="character" w:customStyle="1" w:styleId="IntestazioneCarattere">
    <w:name w:val="Intestazione Carattere"/>
    <w:basedOn w:val="Carpredefinitoparagrafo"/>
    <w:link w:val="Intestazione"/>
    <w:uiPriority w:val="99"/>
    <w:rsid w:val="0088134C"/>
    <w:rPr>
      <w:rFonts w:ascii="Cambria" w:eastAsia="Cambria" w:hAnsi="Cambria" w:cs="Cambria"/>
      <w:lang w:val="it-IT"/>
    </w:rPr>
  </w:style>
  <w:style w:type="paragraph" w:styleId="Pidipagina">
    <w:name w:val="footer"/>
    <w:basedOn w:val="Normale"/>
    <w:link w:val="PidipaginaCarattere"/>
    <w:uiPriority w:val="99"/>
    <w:unhideWhenUsed/>
    <w:rsid w:val="0088134C"/>
    <w:pPr>
      <w:tabs>
        <w:tab w:val="center" w:pos="4819"/>
        <w:tab w:val="right" w:pos="9638"/>
      </w:tabs>
    </w:pPr>
  </w:style>
  <w:style w:type="character" w:customStyle="1" w:styleId="PidipaginaCarattere">
    <w:name w:val="Piè di pagina Carattere"/>
    <w:basedOn w:val="Carpredefinitoparagrafo"/>
    <w:link w:val="Pidipagina"/>
    <w:uiPriority w:val="99"/>
    <w:rsid w:val="0088134C"/>
    <w:rPr>
      <w:rFonts w:ascii="Cambria" w:eastAsia="Cambria" w:hAnsi="Cambria" w:cs="Cambria"/>
      <w:lang w:val="it-IT"/>
    </w:rPr>
  </w:style>
  <w:style w:type="paragraph" w:styleId="Sommario4">
    <w:name w:val="toc 4"/>
    <w:basedOn w:val="Normale"/>
    <w:next w:val="Normale"/>
    <w:autoRedefine/>
    <w:uiPriority w:val="39"/>
    <w:unhideWhenUsed/>
    <w:rsid w:val="006A69FB"/>
    <w:pPr>
      <w:widowControl/>
      <w:spacing w:after="100" w:line="259" w:lineRule="auto"/>
      <w:ind w:left="660"/>
    </w:pPr>
    <w:rPr>
      <w:rFonts w:asciiTheme="minorHAnsi" w:eastAsiaTheme="minorEastAsia" w:hAnsiTheme="minorHAnsi" w:cstheme="minorBidi"/>
    </w:rPr>
  </w:style>
  <w:style w:type="paragraph" w:styleId="Sommario5">
    <w:name w:val="toc 5"/>
    <w:basedOn w:val="Normale"/>
    <w:next w:val="Normale"/>
    <w:autoRedefine/>
    <w:uiPriority w:val="39"/>
    <w:unhideWhenUsed/>
    <w:rsid w:val="006A69FB"/>
    <w:pPr>
      <w:widowControl/>
      <w:spacing w:after="100" w:line="259" w:lineRule="auto"/>
      <w:ind w:left="880"/>
    </w:pPr>
    <w:rPr>
      <w:rFonts w:asciiTheme="minorHAnsi" w:eastAsiaTheme="minorEastAsia" w:hAnsiTheme="minorHAnsi" w:cstheme="minorBidi"/>
    </w:rPr>
  </w:style>
  <w:style w:type="paragraph" w:styleId="Sommario6">
    <w:name w:val="toc 6"/>
    <w:basedOn w:val="Normale"/>
    <w:next w:val="Normale"/>
    <w:autoRedefine/>
    <w:uiPriority w:val="39"/>
    <w:unhideWhenUsed/>
    <w:rsid w:val="006A69FB"/>
    <w:pPr>
      <w:widowControl/>
      <w:spacing w:after="100" w:line="259" w:lineRule="auto"/>
      <w:ind w:left="1100"/>
    </w:pPr>
    <w:rPr>
      <w:rFonts w:asciiTheme="minorHAnsi" w:eastAsiaTheme="minorEastAsia" w:hAnsiTheme="minorHAnsi" w:cstheme="minorBidi"/>
    </w:rPr>
  </w:style>
  <w:style w:type="paragraph" w:styleId="Sommario7">
    <w:name w:val="toc 7"/>
    <w:basedOn w:val="Normale"/>
    <w:next w:val="Normale"/>
    <w:autoRedefine/>
    <w:uiPriority w:val="39"/>
    <w:unhideWhenUsed/>
    <w:rsid w:val="006A69FB"/>
    <w:pPr>
      <w:widowControl/>
      <w:spacing w:after="100" w:line="259" w:lineRule="auto"/>
      <w:ind w:left="1320"/>
    </w:pPr>
    <w:rPr>
      <w:rFonts w:asciiTheme="minorHAnsi" w:eastAsiaTheme="minorEastAsia" w:hAnsiTheme="minorHAnsi" w:cstheme="minorBidi"/>
    </w:rPr>
  </w:style>
  <w:style w:type="paragraph" w:styleId="Sommario8">
    <w:name w:val="toc 8"/>
    <w:basedOn w:val="Normale"/>
    <w:next w:val="Normale"/>
    <w:autoRedefine/>
    <w:uiPriority w:val="39"/>
    <w:unhideWhenUsed/>
    <w:rsid w:val="006A69FB"/>
    <w:pPr>
      <w:widowControl/>
      <w:spacing w:after="100" w:line="259" w:lineRule="auto"/>
      <w:ind w:left="1540"/>
    </w:pPr>
    <w:rPr>
      <w:rFonts w:asciiTheme="minorHAnsi" w:eastAsiaTheme="minorEastAsia" w:hAnsiTheme="minorHAnsi" w:cstheme="minorBidi"/>
    </w:rPr>
  </w:style>
  <w:style w:type="paragraph" w:styleId="Sommario9">
    <w:name w:val="toc 9"/>
    <w:basedOn w:val="Normale"/>
    <w:next w:val="Normale"/>
    <w:autoRedefine/>
    <w:uiPriority w:val="39"/>
    <w:unhideWhenUsed/>
    <w:rsid w:val="006A69FB"/>
    <w:pPr>
      <w:widowControl/>
      <w:spacing w:after="100" w:line="259" w:lineRule="auto"/>
      <w:ind w:left="1760"/>
    </w:pPr>
    <w:rPr>
      <w:rFonts w:asciiTheme="minorHAnsi" w:eastAsiaTheme="minorEastAsia" w:hAnsiTheme="minorHAnsi" w:cstheme="minorBidi"/>
    </w:rPr>
  </w:style>
  <w:style w:type="character" w:customStyle="1" w:styleId="Menzionenonrisolta1">
    <w:name w:val="Menzione non risolta1"/>
    <w:basedOn w:val="Carpredefinitoparagrafo"/>
    <w:uiPriority w:val="99"/>
    <w:semiHidden/>
    <w:unhideWhenUsed/>
    <w:rsid w:val="006A69FB"/>
    <w:rPr>
      <w:color w:val="605E5C"/>
      <w:shd w:val="clear" w:color="auto" w:fill="E1DFDD"/>
    </w:rPr>
  </w:style>
  <w:style w:type="character" w:styleId="Testosegnaposto">
    <w:name w:val="Placeholder Text"/>
    <w:basedOn w:val="Carpredefinitoparagrafo"/>
    <w:uiPriority w:val="99"/>
    <w:semiHidden/>
    <w:rsid w:val="00502FD3"/>
    <w:rPr>
      <w:color w:val="808080"/>
    </w:rPr>
  </w:style>
  <w:style w:type="character" w:customStyle="1" w:styleId="Titolo2Carattere">
    <w:name w:val="Titolo 2 Carattere"/>
    <w:basedOn w:val="Carpredefinitoparagrafo"/>
    <w:link w:val="Titolo2"/>
    <w:uiPriority w:val="9"/>
    <w:rsid w:val="00F86B30"/>
    <w:rPr>
      <w:rFonts w:ascii="Cambria" w:eastAsia="Cambria" w:hAnsi="Cambria" w:cs="Cambria"/>
      <w:b/>
      <w:bCs/>
      <w:sz w:val="24"/>
      <w:szCs w:val="24"/>
      <w:lang w:val="it-IT"/>
    </w:rPr>
  </w:style>
  <w:style w:type="character" w:customStyle="1" w:styleId="CorpotestoCarattere">
    <w:name w:val="Corpo testo Carattere"/>
    <w:basedOn w:val="Carpredefinitoparagrafo"/>
    <w:link w:val="Corpotesto"/>
    <w:uiPriority w:val="1"/>
    <w:rsid w:val="00F86B30"/>
    <w:rPr>
      <w:rFonts w:ascii="Cambria" w:eastAsia="Cambria" w:hAnsi="Cambria" w:cs="Cambria"/>
      <w:sz w:val="24"/>
      <w:szCs w:val="24"/>
      <w:lang w:val="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widowControl/>
    </w:p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Pr>
  </w:style>
  <w:style w:type="table" w:customStyle="1" w:styleId="ae">
    <w:basedOn w:val="TableNormal2"/>
    <w:pPr>
      <w:widowControl/>
    </w:pPr>
    <w:tblPr>
      <w:tblStyleRowBandSize w:val="1"/>
      <w:tblStyleColBandSize w:val="1"/>
      <w:tblCellMar>
        <w:left w:w="108" w:type="dxa"/>
        <w:right w:w="108" w:type="dxa"/>
      </w:tblCellMar>
    </w:tblPr>
  </w:style>
  <w:style w:type="table" w:customStyle="1" w:styleId="af">
    <w:basedOn w:val="TableNormal2"/>
    <w:pPr>
      <w:widowControl/>
    </w:pPr>
    <w:tblPr>
      <w:tblStyleRowBandSize w:val="1"/>
      <w:tblStyleColBandSize w:val="1"/>
      <w:tblCellMar>
        <w:left w:w="108" w:type="dxa"/>
        <w:right w:w="108" w:type="dxa"/>
      </w:tblCellMar>
    </w:tblPr>
  </w:style>
  <w:style w:type="table" w:customStyle="1" w:styleId="af0">
    <w:basedOn w:val="TableNormal2"/>
    <w:pPr>
      <w:widowControl/>
    </w:pPr>
    <w:tblPr>
      <w:tblStyleRowBandSize w:val="1"/>
      <w:tblStyleColBandSize w:val="1"/>
      <w:tblCellMar>
        <w:left w:w="108" w:type="dxa"/>
        <w:right w:w="108" w:type="dxa"/>
      </w:tblCellMar>
    </w:tblPr>
  </w:style>
  <w:style w:type="table" w:customStyle="1" w:styleId="af1">
    <w:basedOn w:val="TableNormal2"/>
    <w:pPr>
      <w:widowControl/>
    </w:pPr>
    <w:tblPr>
      <w:tblStyleRowBandSize w:val="1"/>
      <w:tblStyleColBandSize w:val="1"/>
      <w:tblCellMar>
        <w:left w:w="108" w:type="dxa"/>
        <w:right w:w="108" w:type="dxa"/>
      </w:tblCellMar>
    </w:tblPr>
  </w:style>
  <w:style w:type="character" w:styleId="Enfasigrassetto">
    <w:name w:val="Strong"/>
    <w:basedOn w:val="Carpredefinitoparagrafo"/>
    <w:uiPriority w:val="22"/>
    <w:qFormat/>
    <w:rsid w:val="00873C44"/>
    <w:rPr>
      <w:b/>
      <w:bCs/>
    </w:rPr>
  </w:style>
  <w:style w:type="character" w:styleId="Rimandocommento">
    <w:name w:val="annotation reference"/>
    <w:basedOn w:val="Carpredefinitoparagrafo"/>
    <w:unhideWhenUsed/>
    <w:rsid w:val="003E6093"/>
    <w:rPr>
      <w:sz w:val="16"/>
      <w:szCs w:val="16"/>
    </w:rPr>
  </w:style>
  <w:style w:type="paragraph" w:styleId="Testocommento">
    <w:name w:val="annotation text"/>
    <w:basedOn w:val="Normale"/>
    <w:link w:val="TestocommentoCarattere"/>
    <w:unhideWhenUsed/>
    <w:rsid w:val="003E6093"/>
    <w:rPr>
      <w:sz w:val="20"/>
      <w:szCs w:val="20"/>
    </w:rPr>
  </w:style>
  <w:style w:type="character" w:customStyle="1" w:styleId="TestocommentoCarattere">
    <w:name w:val="Testo commento Carattere"/>
    <w:basedOn w:val="Carpredefinitoparagrafo"/>
    <w:link w:val="Testocommento"/>
    <w:rsid w:val="003E6093"/>
    <w:rPr>
      <w:sz w:val="20"/>
      <w:szCs w:val="20"/>
    </w:rPr>
  </w:style>
  <w:style w:type="paragraph" w:styleId="Soggettocommento">
    <w:name w:val="annotation subject"/>
    <w:basedOn w:val="Testocommento"/>
    <w:next w:val="Testocommento"/>
    <w:link w:val="SoggettocommentoCarattere"/>
    <w:uiPriority w:val="99"/>
    <w:semiHidden/>
    <w:unhideWhenUsed/>
    <w:rsid w:val="003E6093"/>
    <w:rPr>
      <w:b/>
      <w:bCs/>
    </w:rPr>
  </w:style>
  <w:style w:type="character" w:customStyle="1" w:styleId="SoggettocommentoCarattere">
    <w:name w:val="Soggetto commento Carattere"/>
    <w:basedOn w:val="TestocommentoCarattere"/>
    <w:link w:val="Soggettocommento"/>
    <w:uiPriority w:val="99"/>
    <w:semiHidden/>
    <w:rsid w:val="003E6093"/>
    <w:rPr>
      <w:b/>
      <w:bCs/>
      <w:sz w:val="20"/>
      <w:szCs w:val="20"/>
    </w:rPr>
  </w:style>
  <w:style w:type="character" w:customStyle="1" w:styleId="provvrubrica">
    <w:name w:val="provv_rubrica"/>
    <w:qFormat/>
    <w:rPr>
      <w:i/>
      <w:iCs/>
    </w:rPr>
  </w:style>
  <w:style w:type="paragraph" w:styleId="Didascalia">
    <w:name w:val="caption"/>
    <w:basedOn w:val="Normale"/>
    <w:next w:val="Normale"/>
    <w:qFormat/>
    <w:pPr>
      <w:widowControl/>
      <w:spacing w:before="120" w:line="276" w:lineRule="auto"/>
      <w:jc w:val="both"/>
    </w:pPr>
    <w:rPr>
      <w:rFonts w:ascii="Garamond" w:eastAsia="Times New Roman" w:hAnsi="Garamond" w:cs="Times New Roman"/>
      <w:iCs/>
      <w:sz w:val="24"/>
      <w:szCs w:val="18"/>
      <w:lang w:eastAsia="en-US"/>
    </w:rPr>
  </w:style>
  <w:style w:type="character" w:customStyle="1" w:styleId="FootnoteCharacters">
    <w:name w:val="Footnote Characters"/>
    <w:basedOn w:val="Carpredefinitoparagrafo"/>
    <w:uiPriority w:val="99"/>
    <w:semiHidden/>
    <w:unhideWhenUsed/>
    <w:qFormat/>
    <w:rPr>
      <w:vertAlign w:val="superscript"/>
    </w:rPr>
  </w:style>
  <w:style w:type="paragraph" w:customStyle="1" w:styleId="Textbody">
    <w:name w:val="Text body"/>
    <w:basedOn w:val="Normale"/>
    <w:rsid w:val="0018385C"/>
    <w:pPr>
      <w:widowControl/>
      <w:suppressAutoHyphens/>
      <w:autoSpaceDN w:val="0"/>
      <w:spacing w:after="120" w:line="276" w:lineRule="auto"/>
      <w:jc w:val="both"/>
      <w:textAlignment w:val="baseline"/>
    </w:pPr>
    <w:rPr>
      <w:rFonts w:ascii="Garamond" w:eastAsia="Times New Roman" w:hAnsi="Garamond" w:cs="Times New Roman"/>
      <w:kern w:val="3"/>
      <w:sz w:val="24"/>
      <w:lang w:eastAsia="en-US"/>
    </w:rPr>
  </w:style>
  <w:style w:type="table" w:customStyle="1" w:styleId="af2">
    <w:basedOn w:val="TableNormal1"/>
    <w:pPr>
      <w:widowControl/>
    </w:pPr>
    <w:tblPr>
      <w:tblStyleRowBandSize w:val="1"/>
      <w:tblStyleColBandSize w:val="1"/>
      <w:tblCellMar>
        <w:left w:w="108" w:type="dxa"/>
        <w:right w:w="108" w:type="dxa"/>
      </w:tblCellMar>
    </w:tblPr>
  </w:style>
  <w:style w:type="table" w:customStyle="1" w:styleId="af3">
    <w:basedOn w:val="TableNormal1"/>
    <w:pPr>
      <w:widowControl/>
    </w:pPr>
    <w:tblPr>
      <w:tblStyleRowBandSize w:val="1"/>
      <w:tblStyleColBandSize w:val="1"/>
      <w:tblCellMar>
        <w:left w:w="108" w:type="dxa"/>
        <w:right w:w="108" w:type="dxa"/>
      </w:tblCellMar>
    </w:tblPr>
  </w:style>
  <w:style w:type="table" w:customStyle="1" w:styleId="af4">
    <w:basedOn w:val="TableNormal1"/>
    <w:pPr>
      <w:widowControl/>
    </w:pPr>
    <w:tblPr>
      <w:tblStyleRowBandSize w:val="1"/>
      <w:tblStyleColBandSize w:val="1"/>
      <w:tblCellMar>
        <w:left w:w="108" w:type="dxa"/>
        <w:right w:w="108" w:type="dxa"/>
      </w:tblCellMar>
    </w:tblPr>
  </w:style>
  <w:style w:type="table" w:customStyle="1" w:styleId="af5">
    <w:basedOn w:val="TableNormal1"/>
    <w:pPr>
      <w:widowControl/>
    </w:pPr>
    <w:tblPr>
      <w:tblStyleRowBandSize w:val="1"/>
      <w:tblStyleColBandSize w:val="1"/>
      <w:tblCellMar>
        <w:left w:w="108" w:type="dxa"/>
        <w:right w:w="108" w:type="dxa"/>
      </w:tblCellMar>
    </w:tblPr>
  </w:style>
  <w:style w:type="table" w:customStyle="1" w:styleId="af6">
    <w:basedOn w:val="TableNormal1"/>
    <w:pPr>
      <w:widowControl/>
    </w:pPr>
    <w:tblPr>
      <w:tblStyleRowBandSize w:val="1"/>
      <w:tblStyleColBandSize w:val="1"/>
      <w:tblCellMar>
        <w:left w:w="108" w:type="dxa"/>
        <w:right w:w="108" w:type="dxa"/>
      </w:tblCellMar>
    </w:tblPr>
  </w:style>
  <w:style w:type="table" w:customStyle="1" w:styleId="af7">
    <w:basedOn w:val="TableNormal1"/>
    <w:pPr>
      <w:widowControl/>
    </w:pPr>
    <w:tblPr>
      <w:tblStyleRowBandSize w:val="1"/>
      <w:tblStyleColBandSize w:val="1"/>
      <w:tblCellMar>
        <w:left w:w="108" w:type="dxa"/>
        <w:right w:w="108" w:type="dxa"/>
      </w:tblCellMar>
    </w:tblPr>
  </w:style>
  <w:style w:type="table" w:customStyle="1" w:styleId="af8">
    <w:basedOn w:val="TableNormal1"/>
    <w:pPr>
      <w:widowControl/>
    </w:pPr>
    <w:tblPr>
      <w:tblStyleRowBandSize w:val="1"/>
      <w:tblStyleColBandSize w:val="1"/>
      <w:tblCellMar>
        <w:left w:w="108" w:type="dxa"/>
        <w:right w:w="108" w:type="dxa"/>
      </w:tblCellMar>
    </w:tblPr>
  </w:style>
  <w:style w:type="table" w:customStyle="1" w:styleId="af9">
    <w:basedOn w:val="TableNormal1"/>
    <w:pPr>
      <w:widowControl/>
    </w:pPr>
    <w:tblPr>
      <w:tblStyleRowBandSize w:val="1"/>
      <w:tblStyleColBandSize w:val="1"/>
      <w:tblCellMar>
        <w:left w:w="108" w:type="dxa"/>
        <w:right w:w="108" w:type="dxa"/>
      </w:tblCellMar>
    </w:tblPr>
  </w:style>
  <w:style w:type="table" w:customStyle="1" w:styleId="afa">
    <w:basedOn w:val="TableNormal1"/>
    <w:pPr>
      <w:widowControl/>
    </w:pPr>
    <w:tblPr>
      <w:tblStyleRowBandSize w:val="1"/>
      <w:tblStyleColBandSize w:val="1"/>
      <w:tblCellMar>
        <w:left w:w="108" w:type="dxa"/>
        <w:right w:w="108" w:type="dxa"/>
      </w:tblCellMar>
    </w:tblPr>
  </w:style>
  <w:style w:type="table" w:customStyle="1" w:styleId="afb">
    <w:basedOn w:val="TableNormal1"/>
    <w:pPr>
      <w:widowControl/>
    </w:pPr>
    <w:tblPr>
      <w:tblStyleRowBandSize w:val="1"/>
      <w:tblStyleColBandSize w:val="1"/>
      <w:tblCellMar>
        <w:left w:w="108" w:type="dxa"/>
        <w:right w:w="108" w:type="dxa"/>
      </w:tblCellMar>
    </w:tblPr>
  </w:style>
  <w:style w:type="table" w:customStyle="1" w:styleId="afc">
    <w:basedOn w:val="TableNormal1"/>
    <w:pPr>
      <w:widowControl/>
    </w:pPr>
    <w:tblPr>
      <w:tblStyleRowBandSize w:val="1"/>
      <w:tblStyleColBandSize w:val="1"/>
      <w:tblCellMar>
        <w:left w:w="108" w:type="dxa"/>
        <w:right w:w="108" w:type="dxa"/>
      </w:tblCellMar>
    </w:tblPr>
  </w:style>
  <w:style w:type="table" w:customStyle="1" w:styleId="afd">
    <w:basedOn w:val="TableNormal1"/>
    <w:pPr>
      <w:widowControl/>
    </w:pPr>
    <w:tblPr>
      <w:tblStyleRowBandSize w:val="1"/>
      <w:tblStyleColBandSize w:val="1"/>
      <w:tblCellMar>
        <w:left w:w="108" w:type="dxa"/>
        <w:right w:w="108" w:type="dxa"/>
      </w:tblCellMar>
    </w:tblPr>
  </w:style>
  <w:style w:type="table" w:customStyle="1" w:styleId="afe">
    <w:basedOn w:val="TableNormal1"/>
    <w:pPr>
      <w:widowControl/>
    </w:pPr>
    <w:tblPr>
      <w:tblStyleRowBandSize w:val="1"/>
      <w:tblStyleColBandSize w:val="1"/>
      <w:tblCellMar>
        <w:left w:w="108" w:type="dxa"/>
        <w:right w:w="108" w:type="dxa"/>
      </w:tblCellMar>
    </w:tblPr>
  </w:style>
  <w:style w:type="table" w:customStyle="1" w:styleId="aff">
    <w:basedOn w:val="TableNormal1"/>
    <w:pPr>
      <w:widowControl/>
    </w:pPr>
    <w:tblPr>
      <w:tblStyleRowBandSize w:val="1"/>
      <w:tblStyleColBandSize w:val="1"/>
      <w:tblCellMar>
        <w:left w:w="108" w:type="dxa"/>
        <w:right w:w="108" w:type="dxa"/>
      </w:tblCellMar>
    </w:tblPr>
  </w:style>
  <w:style w:type="table" w:customStyle="1" w:styleId="aff0">
    <w:basedOn w:val="TableNormal1"/>
    <w:pPr>
      <w:widowControl/>
    </w:pPr>
    <w:tblPr>
      <w:tblStyleRowBandSize w:val="1"/>
      <w:tblStyleColBandSize w:val="1"/>
      <w:tblCellMar>
        <w:left w:w="108" w:type="dxa"/>
        <w:right w:w="108" w:type="dxa"/>
      </w:tblCellMar>
    </w:tblPr>
  </w:style>
  <w:style w:type="table" w:customStyle="1" w:styleId="aff1">
    <w:basedOn w:val="TableNormal1"/>
    <w:pPr>
      <w:widowControl/>
    </w:pPr>
    <w:tblPr>
      <w:tblStyleRowBandSize w:val="1"/>
      <w:tblStyleColBandSize w:val="1"/>
      <w:tblCellMar>
        <w:left w:w="108" w:type="dxa"/>
        <w:right w:w="108" w:type="dxa"/>
      </w:tblCellMar>
    </w:tblPr>
  </w:style>
  <w:style w:type="table" w:customStyle="1" w:styleId="aff2">
    <w:basedOn w:val="TableNormal1"/>
    <w:pPr>
      <w:widowControl/>
    </w:pPr>
    <w:tblPr>
      <w:tblStyleRowBandSize w:val="1"/>
      <w:tblStyleColBandSize w:val="1"/>
      <w:tblCellMar>
        <w:left w:w="108" w:type="dxa"/>
        <w:right w:w="108" w:type="dxa"/>
      </w:tblCellMar>
    </w:tblPr>
  </w:style>
  <w:style w:type="table" w:customStyle="1" w:styleId="aff3">
    <w:basedOn w:val="TableNormal1"/>
    <w:pPr>
      <w:widowControl/>
    </w:pPr>
    <w:tblPr>
      <w:tblStyleRowBandSize w:val="1"/>
      <w:tblStyleColBandSize w:val="1"/>
      <w:tblCellMar>
        <w:left w:w="108" w:type="dxa"/>
        <w:right w:w="108" w:type="dxa"/>
      </w:tblCellMar>
    </w:tblPr>
  </w:style>
  <w:style w:type="table" w:customStyle="1" w:styleId="aff4">
    <w:basedOn w:val="TableNormal1"/>
    <w:pPr>
      <w:widowControl/>
    </w:pPr>
    <w:tblPr>
      <w:tblStyleRowBandSize w:val="1"/>
      <w:tblStyleColBandSize w:val="1"/>
      <w:tblCellMar>
        <w:left w:w="108" w:type="dxa"/>
        <w:right w:w="108" w:type="dxa"/>
      </w:tblCellMar>
    </w:tblPr>
  </w:style>
  <w:style w:type="table" w:customStyle="1" w:styleId="aff5">
    <w:basedOn w:val="TableNormal1"/>
    <w:pPr>
      <w:widowControl/>
    </w:pPr>
    <w:tblPr>
      <w:tblStyleRowBandSize w:val="1"/>
      <w:tblStyleColBandSize w:val="1"/>
      <w:tblCellMar>
        <w:left w:w="108" w:type="dxa"/>
        <w:right w:w="108" w:type="dxa"/>
      </w:tblCellMar>
    </w:tblPr>
  </w:style>
  <w:style w:type="table" w:customStyle="1" w:styleId="aff6">
    <w:basedOn w:val="TableNormal1"/>
    <w:pPr>
      <w:widowControl/>
    </w:pPr>
    <w:tblPr>
      <w:tblStyleRowBandSize w:val="1"/>
      <w:tblStyleColBandSize w:val="1"/>
      <w:tblCellMar>
        <w:left w:w="108" w:type="dxa"/>
        <w:right w:w="108" w:type="dxa"/>
      </w:tblCellMar>
    </w:tblPr>
  </w:style>
  <w:style w:type="table" w:customStyle="1" w:styleId="aff7">
    <w:basedOn w:val="TableNormal1"/>
    <w:pPr>
      <w:widowControl/>
    </w:pPr>
    <w:tblPr>
      <w:tblStyleRowBandSize w:val="1"/>
      <w:tblStyleColBandSize w:val="1"/>
      <w:tblCellMar>
        <w:left w:w="108" w:type="dxa"/>
        <w:right w:w="108" w:type="dxa"/>
      </w:tblCellMar>
    </w:tblPr>
  </w:style>
  <w:style w:type="table" w:customStyle="1" w:styleId="aff8">
    <w:basedOn w:val="TableNormal1"/>
    <w:pPr>
      <w:widowControl/>
    </w:pPr>
    <w:tblPr>
      <w:tblStyleRowBandSize w:val="1"/>
      <w:tblStyleColBandSize w:val="1"/>
      <w:tblCellMar>
        <w:left w:w="108" w:type="dxa"/>
        <w:right w:w="108" w:type="dxa"/>
      </w:tblCellMar>
    </w:tblPr>
  </w:style>
  <w:style w:type="table" w:customStyle="1" w:styleId="aff9">
    <w:basedOn w:val="TableNormal1"/>
    <w:pPr>
      <w:widowControl/>
    </w:pPr>
    <w:tblPr>
      <w:tblStyleRowBandSize w:val="1"/>
      <w:tblStyleColBandSize w:val="1"/>
      <w:tblCellMar>
        <w:left w:w="108" w:type="dxa"/>
        <w:right w:w="108" w:type="dxa"/>
      </w:tblCellMar>
    </w:tblPr>
  </w:style>
  <w:style w:type="table" w:customStyle="1" w:styleId="affa">
    <w:basedOn w:val="TableNormal1"/>
    <w:pPr>
      <w:widowControl/>
    </w:pPr>
    <w:tblPr>
      <w:tblStyleRowBandSize w:val="1"/>
      <w:tblStyleColBandSize w:val="1"/>
      <w:tblCellMar>
        <w:left w:w="108" w:type="dxa"/>
        <w:right w:w="108" w:type="dxa"/>
      </w:tblCellMar>
    </w:tblPr>
  </w:style>
  <w:style w:type="table" w:customStyle="1" w:styleId="affb">
    <w:basedOn w:val="TableNormal1"/>
    <w:pPr>
      <w:widowControl/>
    </w:pPr>
    <w:tblPr>
      <w:tblStyleRowBandSize w:val="1"/>
      <w:tblStyleColBandSize w:val="1"/>
      <w:tblCellMar>
        <w:left w:w="108" w:type="dxa"/>
        <w:right w:w="108" w:type="dxa"/>
      </w:tblCellMar>
    </w:tblPr>
  </w:style>
  <w:style w:type="table" w:customStyle="1" w:styleId="affc">
    <w:basedOn w:val="TableNormal1"/>
    <w:pPr>
      <w:widowControl/>
    </w:pPr>
    <w:tblPr>
      <w:tblStyleRowBandSize w:val="1"/>
      <w:tblStyleColBandSize w:val="1"/>
      <w:tblCellMar>
        <w:left w:w="108" w:type="dxa"/>
        <w:right w:w="108" w:type="dxa"/>
      </w:tblCellMar>
    </w:tblPr>
  </w:style>
  <w:style w:type="table" w:customStyle="1" w:styleId="affd">
    <w:basedOn w:val="TableNormal1"/>
    <w:pPr>
      <w:widowControl/>
    </w:pPr>
    <w:tblPr>
      <w:tblStyleRowBandSize w:val="1"/>
      <w:tblStyleColBandSize w:val="1"/>
      <w:tblCellMar>
        <w:left w:w="108" w:type="dxa"/>
        <w:right w:w="108" w:type="dxa"/>
      </w:tblCellMar>
    </w:tblPr>
  </w:style>
  <w:style w:type="table" w:customStyle="1" w:styleId="affe">
    <w:basedOn w:val="TableNormal1"/>
    <w:pPr>
      <w:widowControl/>
    </w:pPr>
    <w:tblPr>
      <w:tblStyleRowBandSize w:val="1"/>
      <w:tblStyleColBandSize w:val="1"/>
      <w:tblCellMar>
        <w:left w:w="108" w:type="dxa"/>
        <w:right w:w="108" w:type="dxa"/>
      </w:tblCellMar>
    </w:tblPr>
  </w:style>
  <w:style w:type="table" w:customStyle="1" w:styleId="afff">
    <w:basedOn w:val="TableNormal1"/>
    <w:pPr>
      <w:widowControl/>
    </w:pPr>
    <w:tblPr>
      <w:tblStyleRowBandSize w:val="1"/>
      <w:tblStyleColBandSize w:val="1"/>
      <w:tblCellMar>
        <w:left w:w="108" w:type="dxa"/>
        <w:right w:w="108" w:type="dxa"/>
      </w:tblCellMar>
    </w:tblPr>
  </w:style>
  <w:style w:type="table" w:customStyle="1" w:styleId="afff0">
    <w:basedOn w:val="TableNormal1"/>
    <w:pPr>
      <w:widowControl/>
    </w:pPr>
    <w:tblPr>
      <w:tblStyleRowBandSize w:val="1"/>
      <w:tblStyleColBandSize w:val="1"/>
      <w:tblCellMar>
        <w:left w:w="108" w:type="dxa"/>
        <w:right w:w="108" w:type="dxa"/>
      </w:tblCellMar>
    </w:tblPr>
  </w:style>
  <w:style w:type="table" w:customStyle="1" w:styleId="afff1">
    <w:basedOn w:val="TableNormal1"/>
    <w:pPr>
      <w:widowControl/>
    </w:pPr>
    <w:tblPr>
      <w:tblStyleRowBandSize w:val="1"/>
      <w:tblStyleColBandSize w:val="1"/>
      <w:tblCellMar>
        <w:left w:w="108" w:type="dxa"/>
        <w:right w:w="108" w:type="dxa"/>
      </w:tblCellMar>
    </w:tblPr>
  </w:style>
  <w:style w:type="table" w:customStyle="1" w:styleId="afff2">
    <w:basedOn w:val="TableNormal1"/>
    <w:pPr>
      <w:widowControl/>
    </w:pPr>
    <w:tblPr>
      <w:tblStyleRowBandSize w:val="1"/>
      <w:tblStyleColBandSize w:val="1"/>
      <w:tblCellMar>
        <w:left w:w="108" w:type="dxa"/>
        <w:right w:w="108" w:type="dxa"/>
      </w:tblCellMar>
    </w:tblPr>
  </w:style>
  <w:style w:type="table" w:customStyle="1" w:styleId="afff3">
    <w:basedOn w:val="TableNormal1"/>
    <w:pPr>
      <w:widowControl/>
    </w:pPr>
    <w:tblPr>
      <w:tblStyleRowBandSize w:val="1"/>
      <w:tblStyleColBandSize w:val="1"/>
      <w:tblCellMar>
        <w:left w:w="108" w:type="dxa"/>
        <w:right w:w="108" w:type="dxa"/>
      </w:tblCellMar>
    </w:tblPr>
  </w:style>
  <w:style w:type="table" w:customStyle="1" w:styleId="afff4">
    <w:basedOn w:val="TableNormal1"/>
    <w:pPr>
      <w:widowControl/>
    </w:pPr>
    <w:tblPr>
      <w:tblStyleRowBandSize w:val="1"/>
      <w:tblStyleColBandSize w:val="1"/>
      <w:tblCellMar>
        <w:left w:w="108" w:type="dxa"/>
        <w:right w:w="108" w:type="dxa"/>
      </w:tblCellMar>
    </w:tblPr>
  </w:style>
  <w:style w:type="table" w:customStyle="1" w:styleId="afff5">
    <w:basedOn w:val="TableNormal1"/>
    <w:pPr>
      <w:widowControl/>
    </w:pPr>
    <w:tblPr>
      <w:tblStyleRowBandSize w:val="1"/>
      <w:tblStyleColBandSize w:val="1"/>
      <w:tblCellMar>
        <w:left w:w="108" w:type="dxa"/>
        <w:right w:w="108" w:type="dxa"/>
      </w:tblCellMar>
    </w:tblPr>
  </w:style>
  <w:style w:type="table" w:customStyle="1" w:styleId="afff6">
    <w:basedOn w:val="TableNormal1"/>
    <w:pPr>
      <w:widowControl/>
    </w:pPr>
    <w:tblPr>
      <w:tblStyleRowBandSize w:val="1"/>
      <w:tblStyleColBandSize w:val="1"/>
      <w:tblCellMar>
        <w:left w:w="108" w:type="dxa"/>
        <w:right w:w="108" w:type="dxa"/>
      </w:tblCellMar>
    </w:tblPr>
  </w:style>
  <w:style w:type="table" w:customStyle="1" w:styleId="afff7">
    <w:basedOn w:val="TableNormal1"/>
    <w:pPr>
      <w:widowControl/>
    </w:pPr>
    <w:tblPr>
      <w:tblStyleRowBandSize w:val="1"/>
      <w:tblStyleColBandSize w:val="1"/>
      <w:tblCellMar>
        <w:left w:w="108" w:type="dxa"/>
        <w:right w:w="108" w:type="dxa"/>
      </w:tblCellMar>
    </w:tblPr>
  </w:style>
  <w:style w:type="paragraph" w:styleId="PreformattatoHTML">
    <w:name w:val="HTML Preformatted"/>
    <w:basedOn w:val="Normale"/>
    <w:link w:val="PreformattatoHTMLCarattere"/>
    <w:uiPriority w:val="99"/>
    <w:semiHidden/>
    <w:unhideWhenUsed/>
    <w:rsid w:val="00E4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4498F"/>
    <w:rPr>
      <w:rFonts w:ascii="Courier New" w:eastAsia="Times New Roman" w:hAnsi="Courier New" w:cs="Courier New"/>
      <w:sz w:val="20"/>
      <w:szCs w:val="20"/>
    </w:rPr>
  </w:style>
  <w:style w:type="paragraph" w:customStyle="1" w:styleId="Default">
    <w:name w:val="Default"/>
    <w:rsid w:val="00A05C0D"/>
    <w:pPr>
      <w:widowControl/>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Standard">
    <w:name w:val="Standard"/>
    <w:pPr>
      <w:widowControl/>
      <w:suppressAutoHyphens/>
      <w:autoSpaceDN w:val="0"/>
      <w:spacing w:after="160" w:line="256" w:lineRule="auto"/>
      <w:textAlignment w:val="baseline"/>
    </w:pPr>
    <w:rPr>
      <w:rFonts w:ascii="Calibri" w:eastAsia="SimSun" w:hAnsi="Calibri" w:cs="Tahoma"/>
      <w:kern w:val="3"/>
      <w:lang w:eastAsia="en-US"/>
    </w:rPr>
  </w:style>
  <w:style w:type="paragraph" w:customStyle="1" w:styleId="Normale1">
    <w:name w:val="Normale1"/>
    <w:qFormat/>
    <w:pPr>
      <w:widowControl/>
      <w:suppressAutoHyphens/>
      <w:autoSpaceDN w:val="0"/>
      <w:spacing w:line="276" w:lineRule="auto"/>
      <w:textAlignment w:val="baseline"/>
    </w:pPr>
    <w:rPr>
      <w:rFonts w:ascii="Liberation Serif" w:eastAsia="SimSun" w:hAnsi="Liberation Serif" w:cs="Mangal"/>
      <w:kern w:val="3"/>
      <w:sz w:val="24"/>
      <w:szCs w:val="24"/>
      <w:lang w:eastAsia="zh-CN" w:bidi="hi-IN"/>
    </w:rPr>
  </w:style>
  <w:style w:type="character" w:styleId="Menzionenonrisolta">
    <w:name w:val="Unresolved Mention"/>
    <w:basedOn w:val="Carpredefinitoparagrafo"/>
    <w:uiPriority w:val="99"/>
    <w:semiHidden/>
    <w:unhideWhenUsed/>
    <w:rsid w:val="003A0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5024">
      <w:bodyDiv w:val="1"/>
      <w:marLeft w:val="0"/>
      <w:marRight w:val="0"/>
      <w:marTop w:val="0"/>
      <w:marBottom w:val="0"/>
      <w:divBdr>
        <w:top w:val="none" w:sz="0" w:space="0" w:color="auto"/>
        <w:left w:val="none" w:sz="0" w:space="0" w:color="auto"/>
        <w:bottom w:val="none" w:sz="0" w:space="0" w:color="auto"/>
        <w:right w:val="none" w:sz="0" w:space="0" w:color="auto"/>
      </w:divBdr>
    </w:div>
    <w:div w:id="355809830">
      <w:bodyDiv w:val="1"/>
      <w:marLeft w:val="0"/>
      <w:marRight w:val="0"/>
      <w:marTop w:val="0"/>
      <w:marBottom w:val="0"/>
      <w:divBdr>
        <w:top w:val="none" w:sz="0" w:space="0" w:color="auto"/>
        <w:left w:val="none" w:sz="0" w:space="0" w:color="auto"/>
        <w:bottom w:val="none" w:sz="0" w:space="0" w:color="auto"/>
        <w:right w:val="none" w:sz="0" w:space="0" w:color="auto"/>
      </w:divBdr>
    </w:div>
    <w:div w:id="370419138">
      <w:bodyDiv w:val="1"/>
      <w:marLeft w:val="0"/>
      <w:marRight w:val="0"/>
      <w:marTop w:val="0"/>
      <w:marBottom w:val="0"/>
      <w:divBdr>
        <w:top w:val="none" w:sz="0" w:space="0" w:color="auto"/>
        <w:left w:val="none" w:sz="0" w:space="0" w:color="auto"/>
        <w:bottom w:val="none" w:sz="0" w:space="0" w:color="auto"/>
        <w:right w:val="none" w:sz="0" w:space="0" w:color="auto"/>
      </w:divBdr>
    </w:div>
    <w:div w:id="426968522">
      <w:bodyDiv w:val="1"/>
      <w:marLeft w:val="0"/>
      <w:marRight w:val="0"/>
      <w:marTop w:val="0"/>
      <w:marBottom w:val="0"/>
      <w:divBdr>
        <w:top w:val="none" w:sz="0" w:space="0" w:color="auto"/>
        <w:left w:val="none" w:sz="0" w:space="0" w:color="auto"/>
        <w:bottom w:val="none" w:sz="0" w:space="0" w:color="auto"/>
        <w:right w:val="none" w:sz="0" w:space="0" w:color="auto"/>
      </w:divBdr>
      <w:divsChild>
        <w:div w:id="38013536">
          <w:marLeft w:val="0"/>
          <w:marRight w:val="0"/>
          <w:marTop w:val="0"/>
          <w:marBottom w:val="0"/>
          <w:divBdr>
            <w:top w:val="none" w:sz="0" w:space="0" w:color="auto"/>
            <w:left w:val="none" w:sz="0" w:space="0" w:color="auto"/>
            <w:bottom w:val="none" w:sz="0" w:space="0" w:color="auto"/>
            <w:right w:val="none" w:sz="0" w:space="0" w:color="auto"/>
          </w:divBdr>
        </w:div>
      </w:divsChild>
    </w:div>
    <w:div w:id="1064640204">
      <w:bodyDiv w:val="1"/>
      <w:marLeft w:val="0"/>
      <w:marRight w:val="0"/>
      <w:marTop w:val="0"/>
      <w:marBottom w:val="0"/>
      <w:divBdr>
        <w:top w:val="none" w:sz="0" w:space="0" w:color="auto"/>
        <w:left w:val="none" w:sz="0" w:space="0" w:color="auto"/>
        <w:bottom w:val="none" w:sz="0" w:space="0" w:color="auto"/>
        <w:right w:val="none" w:sz="0" w:space="0" w:color="auto"/>
      </w:divBdr>
    </w:div>
    <w:div w:id="1388410344">
      <w:bodyDiv w:val="1"/>
      <w:marLeft w:val="0"/>
      <w:marRight w:val="0"/>
      <w:marTop w:val="0"/>
      <w:marBottom w:val="0"/>
      <w:divBdr>
        <w:top w:val="none" w:sz="0" w:space="0" w:color="auto"/>
        <w:left w:val="none" w:sz="0" w:space="0" w:color="auto"/>
        <w:bottom w:val="none" w:sz="0" w:space="0" w:color="auto"/>
        <w:right w:val="none" w:sz="0" w:space="0" w:color="auto"/>
      </w:divBdr>
    </w:div>
    <w:div w:id="1930114866">
      <w:bodyDiv w:val="1"/>
      <w:marLeft w:val="0"/>
      <w:marRight w:val="0"/>
      <w:marTop w:val="0"/>
      <w:marBottom w:val="0"/>
      <w:divBdr>
        <w:top w:val="none" w:sz="0" w:space="0" w:color="auto"/>
        <w:left w:val="none" w:sz="0" w:space="0" w:color="auto"/>
        <w:bottom w:val="none" w:sz="0" w:space="0" w:color="auto"/>
        <w:right w:val="none" w:sz="0" w:space="0" w:color="auto"/>
      </w:divBdr>
      <w:divsChild>
        <w:div w:id="1843541389">
          <w:marLeft w:val="0"/>
          <w:marRight w:val="0"/>
          <w:marTop w:val="0"/>
          <w:marBottom w:val="0"/>
          <w:divBdr>
            <w:top w:val="none" w:sz="0" w:space="0" w:color="auto"/>
            <w:left w:val="none" w:sz="0" w:space="0" w:color="auto"/>
            <w:bottom w:val="none" w:sz="0" w:space="0" w:color="auto"/>
            <w:right w:val="none" w:sz="0" w:space="0" w:color="auto"/>
          </w:divBdr>
        </w:div>
      </w:divsChild>
    </w:div>
    <w:div w:id="1972980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tocollo@pec.anticorruzione.it" TargetMode="External"/><Relationship Id="rId4" Type="http://schemas.openxmlformats.org/officeDocument/2006/relationships/styles" Target="style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90GKTqVrGXR4MzqFI0SgqO4tXg==">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3A47C7-0426-4551-A25B-EA373654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57</Pages>
  <Words>24453</Words>
  <Characters>139387</Characters>
  <DocSecurity>0</DocSecurity>
  <Lines>1161</Lines>
  <Paragraphs>327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2023-07-23T11:27:00Z</cp:lastPrinted>
  <dcterms:created xsi:type="dcterms:W3CDTF">2023-07-23T16:18:00Z</dcterms:created>
  <dcterms:modified xsi:type="dcterms:W3CDTF">2023-07-23T18:59:00Z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PScript5.dll Version 5.2.2</vt:lpwstr>
  </property>
  <property fmtid="{D5CDD505-2E9C-101B-9397-08002B2CF9AE}" pid="4" name="LastSaved">
    <vt:filetime>2023-06-26T00:00:00Z</vt:filetime>
  </property>
  <property fmtid="{D5CDD505-2E9C-101B-9397-08002B2CF9AE}" pid="5" name="AppVersion">
    <vt:lpwstr>16.0000</vt:lpwstr>
  </property>
  <property fmtid="{D5CDD505-2E9C-101B-9397-08002B2CF9AE}" pid="6" name="Company">
    <vt:lpwstr>AVCP</vt:lpwstr>
  </property>
  <property fmtid="{D5CDD505-2E9C-101B-9397-08002B2CF9AE}" pid="7" name="DocSecurity">
    <vt:i4>0</vt:i4>
  </property>
  <property fmtid="{D5CDD505-2E9C-101B-9397-08002B2CF9AE}" pid="8" name="DocumentEncoding">
    <vt:lpwstr>utf-8</vt:lpwstr>
  </property>
  <property fmtid="{D5CDD505-2E9C-101B-9397-08002B2CF9AE}" pid="9" name="HTML">
    <vt:bool>true</vt:bool>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