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89C8F" w14:textId="77777777" w:rsidR="00EF220E" w:rsidRDefault="00EF220E" w:rsidP="00CA65D6">
      <w:pPr>
        <w:jc w:val="center"/>
        <w:rPr>
          <w:rFonts w:ascii="Verdana" w:hAnsi="Verdana"/>
          <w:b/>
          <w:color w:val="F7CAAC" w:themeColor="accent2" w:themeTint="66"/>
          <w:sz w:val="56"/>
          <w:szCs w:val="56"/>
          <w14:textOutline w14:w="11112" w14:cap="flat" w14:cmpd="sng" w14:algn="ctr">
            <w14:solidFill>
              <w14:schemeClr w14:val="accent2"/>
            </w14:solidFill>
            <w14:prstDash w14:val="solid"/>
            <w14:round/>
          </w14:textOutline>
        </w:rPr>
      </w:pPr>
    </w:p>
    <w:p w14:paraId="3B0AE3E7" w14:textId="77777777" w:rsidR="008E35E5" w:rsidRDefault="00CC6EC2" w:rsidP="00CA65D6">
      <w:pPr>
        <w:jc w:val="center"/>
        <w:rPr>
          <w:rFonts w:ascii="Verdana" w:hAnsi="Verdana"/>
          <w:b/>
          <w:color w:val="F7CAAC" w:themeColor="accent2" w:themeTint="66"/>
          <w:sz w:val="56"/>
          <w:szCs w:val="56"/>
          <w14:textOutline w14:w="11112" w14:cap="flat" w14:cmpd="sng" w14:algn="ctr">
            <w14:solidFill>
              <w14:schemeClr w14:val="accent2"/>
            </w14:solidFill>
            <w14:prstDash w14:val="solid"/>
            <w14:round/>
          </w14:textOutline>
        </w:rPr>
      </w:pPr>
      <w:r w:rsidRPr="004928F2">
        <w:rPr>
          <w:rFonts w:ascii="Verdana" w:hAnsi="Verdana"/>
          <w:b/>
          <w:color w:val="F7CAAC" w:themeColor="accent2" w:themeTint="66"/>
          <w:sz w:val="56"/>
          <w:szCs w:val="56"/>
          <w14:textOutline w14:w="11112" w14:cap="flat" w14:cmpd="sng" w14:algn="ctr">
            <w14:solidFill>
              <w14:schemeClr w14:val="accent2"/>
            </w14:solidFill>
            <w14:prstDash w14:val="solid"/>
            <w14:round/>
          </w14:textOutline>
        </w:rPr>
        <w:t xml:space="preserve">PIANO NAZIONALE </w:t>
      </w:r>
    </w:p>
    <w:p w14:paraId="2BD5F979" w14:textId="77777777" w:rsidR="008E35E5" w:rsidRDefault="00CC6EC2" w:rsidP="00CA65D6">
      <w:pPr>
        <w:jc w:val="center"/>
        <w:rPr>
          <w:rFonts w:ascii="Verdana" w:hAnsi="Verdana"/>
          <w:b/>
          <w:color w:val="F7CAAC" w:themeColor="accent2" w:themeTint="66"/>
          <w:sz w:val="56"/>
          <w:szCs w:val="56"/>
          <w14:textOutline w14:w="11112" w14:cap="flat" w14:cmpd="sng" w14:algn="ctr">
            <w14:solidFill>
              <w14:schemeClr w14:val="accent2"/>
            </w14:solidFill>
            <w14:prstDash w14:val="solid"/>
            <w14:round/>
          </w14:textOutline>
        </w:rPr>
      </w:pPr>
      <w:r w:rsidRPr="004928F2">
        <w:rPr>
          <w:rFonts w:ascii="Verdana" w:hAnsi="Verdana"/>
          <w:b/>
          <w:color w:val="F7CAAC" w:themeColor="accent2" w:themeTint="66"/>
          <w:sz w:val="56"/>
          <w:szCs w:val="56"/>
          <w14:textOutline w14:w="11112" w14:cap="flat" w14:cmpd="sng" w14:algn="ctr">
            <w14:solidFill>
              <w14:schemeClr w14:val="accent2"/>
            </w14:solidFill>
            <w14:prstDash w14:val="solid"/>
            <w14:round/>
          </w14:textOutline>
        </w:rPr>
        <w:t xml:space="preserve">DI </w:t>
      </w:r>
    </w:p>
    <w:p w14:paraId="4AD067A8" w14:textId="77777777" w:rsidR="00EF220E" w:rsidRPr="004928F2" w:rsidRDefault="00CC6EC2" w:rsidP="00CA65D6">
      <w:pPr>
        <w:jc w:val="center"/>
        <w:rPr>
          <w:rFonts w:ascii="Verdana" w:hAnsi="Verdana"/>
          <w:b/>
          <w:color w:val="F7CAAC" w:themeColor="accent2" w:themeTint="66"/>
          <w:sz w:val="56"/>
          <w:szCs w:val="56"/>
          <w14:textOutline w14:w="11112" w14:cap="flat" w14:cmpd="sng" w14:algn="ctr">
            <w14:solidFill>
              <w14:schemeClr w14:val="accent2"/>
            </w14:solidFill>
            <w14:prstDash w14:val="solid"/>
            <w14:round/>
          </w14:textOutline>
        </w:rPr>
      </w:pPr>
      <w:r w:rsidRPr="004928F2">
        <w:rPr>
          <w:rFonts w:ascii="Verdana" w:hAnsi="Verdana"/>
          <w:b/>
          <w:color w:val="F7CAAC" w:themeColor="accent2" w:themeTint="66"/>
          <w:sz w:val="56"/>
          <w:szCs w:val="56"/>
          <w14:textOutline w14:w="11112" w14:cap="flat" w14:cmpd="sng" w14:algn="ctr">
            <w14:solidFill>
              <w14:schemeClr w14:val="accent2"/>
            </w14:solidFill>
            <w14:prstDash w14:val="solid"/>
            <w14:round/>
          </w14:textOutline>
        </w:rPr>
        <w:t xml:space="preserve">RIPRESA E RESILIENZA </w:t>
      </w:r>
    </w:p>
    <w:p w14:paraId="3825638F" w14:textId="77777777" w:rsidR="00CC6EC2" w:rsidRPr="004928F2" w:rsidRDefault="00CC6EC2" w:rsidP="00CA65D6">
      <w:pPr>
        <w:jc w:val="center"/>
        <w:rPr>
          <w:rFonts w:ascii="Verdana" w:hAnsi="Verdana"/>
          <w:b/>
          <w:color w:val="F7CAAC" w:themeColor="accent2" w:themeTint="66"/>
          <w:sz w:val="56"/>
          <w:szCs w:val="56"/>
          <w14:textOutline w14:w="11112" w14:cap="flat" w14:cmpd="sng" w14:algn="ctr">
            <w14:solidFill>
              <w14:schemeClr w14:val="accent2"/>
            </w14:solidFill>
            <w14:prstDash w14:val="solid"/>
            <w14:round/>
          </w14:textOutline>
        </w:rPr>
      </w:pPr>
      <w:r w:rsidRPr="004928F2">
        <w:rPr>
          <w:rFonts w:ascii="Verdana" w:hAnsi="Verdana"/>
          <w:b/>
          <w:color w:val="F7CAAC" w:themeColor="accent2" w:themeTint="66"/>
          <w:sz w:val="56"/>
          <w:szCs w:val="56"/>
          <w14:textOutline w14:w="11112" w14:cap="flat" w14:cmpd="sng" w14:algn="ctr">
            <w14:solidFill>
              <w14:schemeClr w14:val="accent2"/>
            </w14:solidFill>
            <w14:prstDash w14:val="solid"/>
            <w14:round/>
          </w14:textOutline>
        </w:rPr>
        <w:t>– FONDO COMPLEMENTARE –</w:t>
      </w:r>
    </w:p>
    <w:p w14:paraId="0D694263" w14:textId="77777777" w:rsidR="00EF220E" w:rsidRDefault="00EF220E" w:rsidP="003D0559">
      <w:pPr>
        <w:jc w:val="both"/>
        <w:rPr>
          <w:rFonts w:ascii="Verdana" w:hAnsi="Verdana"/>
          <w:b/>
          <w:color w:val="C00000"/>
          <w:sz w:val="36"/>
          <w:szCs w:val="36"/>
        </w:rPr>
      </w:pPr>
    </w:p>
    <w:p w14:paraId="1A2496DA" w14:textId="77777777" w:rsidR="00EF220E" w:rsidRDefault="00EF220E" w:rsidP="003D0559">
      <w:pPr>
        <w:jc w:val="both"/>
        <w:rPr>
          <w:rFonts w:ascii="Verdana" w:hAnsi="Verdana"/>
          <w:b/>
          <w:color w:val="C00000"/>
          <w:sz w:val="36"/>
          <w:szCs w:val="36"/>
        </w:rPr>
      </w:pPr>
    </w:p>
    <w:p w14:paraId="08BBD63B" w14:textId="77777777" w:rsidR="00665894" w:rsidRDefault="00CC6EC2" w:rsidP="00665894">
      <w:pPr>
        <w:jc w:val="center"/>
        <w:rPr>
          <w:rFonts w:ascii="Verdana" w:hAnsi="Verdana"/>
          <w:b/>
          <w:i/>
          <w:iCs/>
          <w:color w:val="C00000"/>
          <w:sz w:val="36"/>
          <w:szCs w:val="36"/>
        </w:rPr>
      </w:pPr>
      <w:r w:rsidRPr="004928F2">
        <w:rPr>
          <w:rFonts w:ascii="Verdana" w:hAnsi="Verdana"/>
          <w:b/>
          <w:i/>
          <w:iCs/>
          <w:color w:val="C00000"/>
          <w:sz w:val="36"/>
          <w:szCs w:val="36"/>
        </w:rPr>
        <w:t xml:space="preserve">Programma </w:t>
      </w:r>
      <w:r w:rsidR="00F74610" w:rsidRPr="004928F2">
        <w:rPr>
          <w:rFonts w:ascii="Verdana" w:hAnsi="Verdana"/>
          <w:b/>
          <w:i/>
          <w:iCs/>
          <w:color w:val="C00000"/>
          <w:sz w:val="36"/>
          <w:szCs w:val="36"/>
        </w:rPr>
        <w:t>unitari</w:t>
      </w:r>
      <w:r w:rsidRPr="004928F2">
        <w:rPr>
          <w:rFonts w:ascii="Verdana" w:hAnsi="Verdana"/>
          <w:b/>
          <w:i/>
          <w:iCs/>
          <w:color w:val="C00000"/>
          <w:sz w:val="36"/>
          <w:szCs w:val="36"/>
        </w:rPr>
        <w:t>o</w:t>
      </w:r>
      <w:r w:rsidR="003D0559" w:rsidRPr="004928F2">
        <w:rPr>
          <w:rFonts w:ascii="Verdana" w:hAnsi="Verdana"/>
          <w:b/>
          <w:i/>
          <w:iCs/>
          <w:color w:val="C00000"/>
          <w:sz w:val="36"/>
          <w:szCs w:val="36"/>
        </w:rPr>
        <w:t xml:space="preserve"> di intervento </w:t>
      </w:r>
    </w:p>
    <w:p w14:paraId="29164F48" w14:textId="77777777" w:rsidR="006A2E9E" w:rsidRDefault="00E84276" w:rsidP="006A2E9E">
      <w:pPr>
        <w:jc w:val="center"/>
        <w:rPr>
          <w:rFonts w:ascii="Verdana" w:hAnsi="Verdana"/>
          <w:b/>
          <w:i/>
          <w:iCs/>
          <w:color w:val="C00000"/>
          <w:sz w:val="36"/>
          <w:szCs w:val="36"/>
        </w:rPr>
      </w:pPr>
      <w:r>
        <w:rPr>
          <w:rFonts w:ascii="Verdana" w:hAnsi="Verdana"/>
          <w:b/>
          <w:i/>
          <w:iCs/>
          <w:color w:val="C00000"/>
          <w:sz w:val="36"/>
          <w:szCs w:val="36"/>
        </w:rPr>
        <w:t xml:space="preserve">Interventi per le </w:t>
      </w:r>
      <w:r w:rsidR="003D0559" w:rsidRPr="004928F2">
        <w:rPr>
          <w:rFonts w:ascii="Verdana" w:hAnsi="Verdana"/>
          <w:b/>
          <w:i/>
          <w:iCs/>
          <w:color w:val="C00000"/>
          <w:sz w:val="36"/>
          <w:szCs w:val="36"/>
        </w:rPr>
        <w:t xml:space="preserve">aree </w:t>
      </w:r>
      <w:r>
        <w:rPr>
          <w:rFonts w:ascii="Verdana" w:hAnsi="Verdana"/>
          <w:b/>
          <w:i/>
          <w:iCs/>
          <w:color w:val="C00000"/>
          <w:sz w:val="36"/>
          <w:szCs w:val="36"/>
        </w:rPr>
        <w:t>del terremoto del</w:t>
      </w:r>
      <w:r w:rsidRPr="004928F2">
        <w:rPr>
          <w:rFonts w:ascii="Verdana" w:hAnsi="Verdana"/>
          <w:b/>
          <w:i/>
          <w:iCs/>
          <w:color w:val="C00000"/>
          <w:sz w:val="36"/>
          <w:szCs w:val="36"/>
        </w:rPr>
        <w:t xml:space="preserve"> </w:t>
      </w:r>
    </w:p>
    <w:p w14:paraId="57EC3953" w14:textId="77777777" w:rsidR="00EF220E" w:rsidRPr="006A2E9E" w:rsidRDefault="003D0559" w:rsidP="006A2E9E">
      <w:pPr>
        <w:jc w:val="center"/>
        <w:rPr>
          <w:rFonts w:ascii="Verdana" w:hAnsi="Verdana"/>
          <w:b/>
          <w:i/>
          <w:iCs/>
          <w:color w:val="C00000"/>
          <w:sz w:val="36"/>
          <w:szCs w:val="36"/>
        </w:rPr>
      </w:pPr>
      <w:r w:rsidRPr="004928F2">
        <w:rPr>
          <w:rFonts w:ascii="Verdana" w:hAnsi="Verdana"/>
          <w:b/>
          <w:i/>
          <w:iCs/>
          <w:color w:val="C00000"/>
          <w:sz w:val="36"/>
          <w:szCs w:val="36"/>
        </w:rPr>
        <w:t>2009 e 2016</w:t>
      </w:r>
    </w:p>
    <w:p w14:paraId="1C5FF986" w14:textId="77777777" w:rsidR="00EF220E" w:rsidRDefault="00EF220E" w:rsidP="003D0559">
      <w:pPr>
        <w:jc w:val="both"/>
        <w:rPr>
          <w:rFonts w:ascii="Verdana" w:hAnsi="Verdana"/>
          <w:b/>
          <w:color w:val="C00000"/>
          <w:sz w:val="36"/>
          <w:szCs w:val="36"/>
        </w:rPr>
      </w:pPr>
    </w:p>
    <w:p w14:paraId="28F45163" w14:textId="77777777" w:rsidR="00EF220E" w:rsidRDefault="00EF220E" w:rsidP="003D0559">
      <w:pPr>
        <w:jc w:val="both"/>
        <w:rPr>
          <w:rFonts w:ascii="Verdana" w:hAnsi="Verdana"/>
          <w:b/>
          <w:color w:val="C00000"/>
          <w:sz w:val="36"/>
          <w:szCs w:val="36"/>
        </w:rPr>
      </w:pPr>
    </w:p>
    <w:p w14:paraId="3FE31649" w14:textId="77777777" w:rsidR="00EF220E" w:rsidRDefault="00EF220E" w:rsidP="003D0559">
      <w:pPr>
        <w:jc w:val="both"/>
        <w:rPr>
          <w:rFonts w:ascii="Verdana" w:hAnsi="Verdana"/>
          <w:b/>
          <w:color w:val="C00000"/>
          <w:sz w:val="36"/>
          <w:szCs w:val="36"/>
        </w:rPr>
      </w:pPr>
    </w:p>
    <w:p w14:paraId="05DAC7C3" w14:textId="77777777" w:rsidR="00EF220E" w:rsidRDefault="00EF220E" w:rsidP="003D0559">
      <w:pPr>
        <w:jc w:val="both"/>
        <w:rPr>
          <w:rFonts w:ascii="Verdana" w:hAnsi="Verdana"/>
          <w:b/>
          <w:color w:val="C00000"/>
          <w:sz w:val="36"/>
          <w:szCs w:val="36"/>
        </w:rPr>
      </w:pPr>
    </w:p>
    <w:p w14:paraId="352E4421" w14:textId="77777777" w:rsidR="00EF220E" w:rsidRDefault="00EF220E" w:rsidP="003D0559">
      <w:pPr>
        <w:jc w:val="both"/>
        <w:rPr>
          <w:rFonts w:ascii="Verdana" w:hAnsi="Verdana"/>
          <w:b/>
          <w:color w:val="C00000"/>
          <w:sz w:val="36"/>
          <w:szCs w:val="36"/>
        </w:rPr>
      </w:pPr>
    </w:p>
    <w:p w14:paraId="4AF879FC" w14:textId="77777777" w:rsidR="00EF220E" w:rsidRDefault="00EF220E" w:rsidP="003D0559">
      <w:pPr>
        <w:jc w:val="both"/>
        <w:rPr>
          <w:rFonts w:ascii="Verdana" w:hAnsi="Verdana"/>
          <w:b/>
          <w:color w:val="C00000"/>
          <w:sz w:val="36"/>
          <w:szCs w:val="36"/>
        </w:rPr>
      </w:pPr>
    </w:p>
    <w:p w14:paraId="396C83C7" w14:textId="77777777" w:rsidR="00EF220E" w:rsidRDefault="00EF220E" w:rsidP="003D0559">
      <w:pPr>
        <w:jc w:val="both"/>
        <w:rPr>
          <w:rFonts w:ascii="Verdana" w:hAnsi="Verdana"/>
          <w:b/>
          <w:color w:val="C00000"/>
          <w:sz w:val="36"/>
          <w:szCs w:val="36"/>
        </w:rPr>
      </w:pPr>
    </w:p>
    <w:p w14:paraId="13082ADC" w14:textId="77777777" w:rsidR="00EF220E" w:rsidRDefault="00EF220E" w:rsidP="003D0559">
      <w:pPr>
        <w:jc w:val="both"/>
        <w:rPr>
          <w:rFonts w:ascii="Verdana" w:hAnsi="Verdana"/>
          <w:b/>
          <w:color w:val="C00000"/>
          <w:sz w:val="36"/>
          <w:szCs w:val="36"/>
        </w:rPr>
      </w:pPr>
    </w:p>
    <w:p w14:paraId="3B60EAED" w14:textId="77777777" w:rsidR="005F4140" w:rsidRDefault="005F4140" w:rsidP="003D0559">
      <w:pPr>
        <w:jc w:val="both"/>
        <w:rPr>
          <w:rFonts w:ascii="Verdana" w:hAnsi="Verdana"/>
          <w:b/>
          <w:color w:val="C00000"/>
          <w:sz w:val="24"/>
          <w:szCs w:val="24"/>
        </w:rPr>
      </w:pPr>
    </w:p>
    <w:p w14:paraId="102157FF" w14:textId="77777777" w:rsidR="005F4140" w:rsidRDefault="005F4140" w:rsidP="003D0559">
      <w:pPr>
        <w:jc w:val="both"/>
        <w:rPr>
          <w:rFonts w:ascii="Verdana" w:hAnsi="Verdana"/>
          <w:b/>
          <w:color w:val="C00000"/>
          <w:sz w:val="36"/>
          <w:szCs w:val="36"/>
        </w:rPr>
      </w:pPr>
    </w:p>
    <w:p w14:paraId="6A399991" w14:textId="77777777" w:rsidR="003262D8" w:rsidRDefault="003262D8" w:rsidP="003D0559">
      <w:pPr>
        <w:jc w:val="both"/>
        <w:rPr>
          <w:rFonts w:ascii="Verdana" w:hAnsi="Verdana"/>
          <w:b/>
          <w:color w:val="C00000"/>
          <w:sz w:val="36"/>
          <w:szCs w:val="36"/>
        </w:rPr>
      </w:pPr>
      <w:r>
        <w:rPr>
          <w:rFonts w:ascii="Verdana" w:hAnsi="Verdana"/>
          <w:b/>
          <w:color w:val="C00000"/>
          <w:sz w:val="36"/>
          <w:szCs w:val="36"/>
        </w:rPr>
        <w:br w:type="page"/>
      </w:r>
    </w:p>
    <w:p w14:paraId="3EC537E7" w14:textId="77777777" w:rsidR="003262D8" w:rsidRDefault="003262D8" w:rsidP="003D0559">
      <w:pPr>
        <w:jc w:val="both"/>
        <w:rPr>
          <w:rFonts w:ascii="Verdana" w:hAnsi="Verdana"/>
          <w:b/>
          <w:color w:val="C00000"/>
          <w:sz w:val="36"/>
          <w:szCs w:val="36"/>
        </w:rPr>
      </w:pPr>
    </w:p>
    <w:p w14:paraId="2EFE65CC" w14:textId="77777777" w:rsidR="004928F2" w:rsidRPr="00660D22" w:rsidRDefault="00EF220E" w:rsidP="003D0559">
      <w:pPr>
        <w:jc w:val="both"/>
        <w:rPr>
          <w:rFonts w:ascii="Verdana" w:hAnsi="Verdana"/>
          <w:b/>
          <w:color w:val="C00000"/>
          <w:sz w:val="24"/>
          <w:szCs w:val="24"/>
          <w:u w:val="single"/>
        </w:rPr>
      </w:pPr>
      <w:r w:rsidRPr="00660D22">
        <w:rPr>
          <w:rFonts w:ascii="Verdana" w:hAnsi="Verdana"/>
          <w:b/>
          <w:color w:val="C00000"/>
          <w:sz w:val="24"/>
          <w:szCs w:val="24"/>
          <w:u w:val="single"/>
        </w:rPr>
        <w:t>Sommario</w:t>
      </w:r>
    </w:p>
    <w:tbl>
      <w:tblPr>
        <w:tblStyle w:val="Grigliatabel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0"/>
        <w:gridCol w:w="709"/>
        <w:gridCol w:w="567"/>
      </w:tblGrid>
      <w:tr w:rsidR="004F0254" w:rsidRPr="006777BA" w14:paraId="4CCA8252" w14:textId="77777777" w:rsidTr="00ED45BC">
        <w:tc>
          <w:tcPr>
            <w:tcW w:w="8500" w:type="dxa"/>
          </w:tcPr>
          <w:p w14:paraId="70940485" w14:textId="77777777" w:rsidR="004F0254" w:rsidRPr="000F4720" w:rsidRDefault="004F0254" w:rsidP="000F4720">
            <w:pPr>
              <w:jc w:val="both"/>
              <w:rPr>
                <w:rFonts w:ascii="Verdana" w:hAnsi="Verdana"/>
                <w:bCs/>
                <w:color w:val="C00000"/>
                <w:sz w:val="24"/>
                <w:szCs w:val="24"/>
              </w:rPr>
            </w:pPr>
            <w:r w:rsidRPr="000F4720">
              <w:rPr>
                <w:rFonts w:ascii="Verdana" w:hAnsi="Verdana"/>
                <w:b/>
                <w:color w:val="C00000"/>
                <w:sz w:val="24"/>
                <w:szCs w:val="24"/>
              </w:rPr>
              <w:t>Premessa</w:t>
            </w:r>
          </w:p>
        </w:tc>
        <w:tc>
          <w:tcPr>
            <w:tcW w:w="709" w:type="dxa"/>
          </w:tcPr>
          <w:p w14:paraId="797E521B" w14:textId="77777777" w:rsidR="004F0254" w:rsidRPr="000F4720" w:rsidRDefault="004F0254" w:rsidP="00A5590E">
            <w:pPr>
              <w:jc w:val="right"/>
              <w:rPr>
                <w:rFonts w:ascii="Times New Roman" w:hAnsi="Times New Roman" w:cs="Times New Roman"/>
                <w:bCs/>
                <w:sz w:val="24"/>
                <w:szCs w:val="24"/>
              </w:rPr>
            </w:pPr>
            <w:r w:rsidRPr="000F4720">
              <w:rPr>
                <w:rFonts w:ascii="Times New Roman" w:hAnsi="Times New Roman" w:cs="Times New Roman"/>
                <w:bCs/>
                <w:sz w:val="24"/>
                <w:szCs w:val="24"/>
              </w:rPr>
              <w:t>pag.</w:t>
            </w:r>
          </w:p>
        </w:tc>
        <w:tc>
          <w:tcPr>
            <w:tcW w:w="567" w:type="dxa"/>
          </w:tcPr>
          <w:p w14:paraId="7E20D64F" w14:textId="77777777" w:rsidR="004F0254" w:rsidRPr="006777BA" w:rsidRDefault="00A22B1A" w:rsidP="00A5590E">
            <w:pPr>
              <w:jc w:val="right"/>
              <w:rPr>
                <w:rFonts w:ascii="Verdana" w:hAnsi="Verdana"/>
                <w:b/>
                <w:sz w:val="24"/>
                <w:szCs w:val="24"/>
              </w:rPr>
            </w:pPr>
            <w:r w:rsidRPr="006777BA">
              <w:rPr>
                <w:rFonts w:ascii="Times New Roman" w:hAnsi="Times New Roman" w:cs="Times New Roman"/>
                <w:bCs/>
                <w:sz w:val="24"/>
                <w:szCs w:val="24"/>
              </w:rPr>
              <w:t>3</w:t>
            </w:r>
          </w:p>
        </w:tc>
      </w:tr>
      <w:tr w:rsidR="004F0254" w:rsidRPr="006777BA" w14:paraId="237C7D0E" w14:textId="77777777" w:rsidTr="00ED45BC">
        <w:trPr>
          <w:trHeight w:val="135"/>
        </w:trPr>
        <w:tc>
          <w:tcPr>
            <w:tcW w:w="8500" w:type="dxa"/>
          </w:tcPr>
          <w:p w14:paraId="0FF653BE" w14:textId="77777777" w:rsidR="004F0254" w:rsidRPr="000F4720" w:rsidRDefault="004F0254" w:rsidP="000F4720">
            <w:pPr>
              <w:jc w:val="both"/>
              <w:rPr>
                <w:rFonts w:ascii="Verdana" w:hAnsi="Verdana"/>
                <w:b/>
                <w:color w:val="C00000"/>
              </w:rPr>
            </w:pPr>
          </w:p>
        </w:tc>
        <w:tc>
          <w:tcPr>
            <w:tcW w:w="709" w:type="dxa"/>
          </w:tcPr>
          <w:p w14:paraId="77F74C3A" w14:textId="77777777" w:rsidR="004F0254" w:rsidRPr="000F4720" w:rsidRDefault="004F0254" w:rsidP="000F4720">
            <w:pPr>
              <w:jc w:val="right"/>
              <w:rPr>
                <w:rFonts w:ascii="Verdana" w:hAnsi="Verdana"/>
                <w:b/>
                <w:sz w:val="24"/>
                <w:szCs w:val="24"/>
              </w:rPr>
            </w:pPr>
          </w:p>
        </w:tc>
        <w:tc>
          <w:tcPr>
            <w:tcW w:w="567" w:type="dxa"/>
          </w:tcPr>
          <w:p w14:paraId="653453B7" w14:textId="77777777" w:rsidR="004F0254" w:rsidRPr="006777BA" w:rsidRDefault="004F0254" w:rsidP="000F4720">
            <w:pPr>
              <w:jc w:val="both"/>
              <w:rPr>
                <w:rFonts w:ascii="Verdana" w:hAnsi="Verdana"/>
                <w:b/>
                <w:sz w:val="24"/>
                <w:szCs w:val="24"/>
              </w:rPr>
            </w:pPr>
          </w:p>
        </w:tc>
      </w:tr>
      <w:tr w:rsidR="00336E4B" w:rsidRPr="006777BA" w14:paraId="6FA57971" w14:textId="77777777" w:rsidTr="00ED45BC">
        <w:trPr>
          <w:trHeight w:val="954"/>
        </w:trPr>
        <w:tc>
          <w:tcPr>
            <w:tcW w:w="8500" w:type="dxa"/>
          </w:tcPr>
          <w:p w14:paraId="79D6594D" w14:textId="77777777" w:rsidR="00336E4B" w:rsidRPr="000F4720" w:rsidRDefault="00336E4B" w:rsidP="000F4720">
            <w:pPr>
              <w:jc w:val="both"/>
              <w:rPr>
                <w:rFonts w:ascii="Verdana" w:hAnsi="Verdana"/>
                <w:b/>
                <w:color w:val="C00000"/>
                <w:sz w:val="24"/>
                <w:szCs w:val="24"/>
              </w:rPr>
            </w:pPr>
            <w:r w:rsidRPr="000F4720">
              <w:rPr>
                <w:rFonts w:ascii="Verdana" w:hAnsi="Verdana"/>
                <w:b/>
                <w:color w:val="C00000"/>
                <w:sz w:val="24"/>
                <w:szCs w:val="24"/>
              </w:rPr>
              <w:t>Prima parte</w:t>
            </w:r>
          </w:p>
          <w:p w14:paraId="2F2CC94C" w14:textId="77777777" w:rsidR="00336E4B" w:rsidRPr="00336E4B" w:rsidRDefault="00336E4B" w:rsidP="00336E4B">
            <w:pPr>
              <w:jc w:val="both"/>
              <w:rPr>
                <w:rFonts w:ascii="Verdana" w:hAnsi="Verdana"/>
                <w:b/>
                <w:color w:val="C00000"/>
                <w:sz w:val="24"/>
                <w:szCs w:val="24"/>
              </w:rPr>
            </w:pPr>
            <w:r w:rsidRPr="000F4720">
              <w:rPr>
                <w:rFonts w:ascii="Verdana" w:hAnsi="Verdana"/>
                <w:b/>
                <w:color w:val="C00000"/>
                <w:sz w:val="24"/>
                <w:szCs w:val="24"/>
              </w:rPr>
              <w:t xml:space="preserve">Il </w:t>
            </w:r>
            <w:bookmarkStart w:id="0" w:name="_Hlk83743551"/>
            <w:r w:rsidRPr="000F4720">
              <w:rPr>
                <w:rFonts w:ascii="Verdana" w:hAnsi="Verdana"/>
                <w:b/>
                <w:color w:val="C00000"/>
                <w:sz w:val="24"/>
                <w:szCs w:val="24"/>
              </w:rPr>
              <w:t xml:space="preserve">contesto normativo e la </w:t>
            </w:r>
            <w:r w:rsidRPr="000F4720">
              <w:rPr>
                <w:rFonts w:ascii="Verdana" w:hAnsi="Verdana"/>
                <w:b/>
                <w:i/>
                <w:color w:val="C00000"/>
                <w:sz w:val="24"/>
                <w:szCs w:val="24"/>
              </w:rPr>
              <w:t>Governance</w:t>
            </w:r>
            <w:r w:rsidRPr="000F4720">
              <w:rPr>
                <w:rFonts w:ascii="Verdana" w:hAnsi="Verdana"/>
                <w:b/>
                <w:color w:val="C00000"/>
                <w:sz w:val="24"/>
                <w:szCs w:val="24"/>
              </w:rPr>
              <w:t xml:space="preserve"> del Piano complementare nei territori interessati dagli eventi sismici del 2009 e 2016</w:t>
            </w:r>
            <w:bookmarkEnd w:id="0"/>
          </w:p>
        </w:tc>
        <w:tc>
          <w:tcPr>
            <w:tcW w:w="709" w:type="dxa"/>
          </w:tcPr>
          <w:p w14:paraId="643338DB" w14:textId="77777777" w:rsidR="00336E4B" w:rsidRPr="000F4720" w:rsidRDefault="00336E4B" w:rsidP="00336E4B">
            <w:pPr>
              <w:rPr>
                <w:rFonts w:ascii="Times New Roman" w:hAnsi="Times New Roman" w:cs="Times New Roman"/>
                <w:bCs/>
                <w:sz w:val="24"/>
                <w:szCs w:val="24"/>
              </w:rPr>
            </w:pPr>
          </w:p>
        </w:tc>
        <w:tc>
          <w:tcPr>
            <w:tcW w:w="567" w:type="dxa"/>
          </w:tcPr>
          <w:p w14:paraId="1C191801" w14:textId="77777777" w:rsidR="00336E4B" w:rsidRPr="006777BA" w:rsidRDefault="00336E4B" w:rsidP="00336E4B">
            <w:pPr>
              <w:rPr>
                <w:rFonts w:ascii="Times New Roman" w:hAnsi="Times New Roman" w:cs="Times New Roman"/>
                <w:bCs/>
                <w:sz w:val="24"/>
                <w:szCs w:val="24"/>
              </w:rPr>
            </w:pPr>
          </w:p>
          <w:p w14:paraId="09BAAE2A" w14:textId="77777777" w:rsidR="00336E4B" w:rsidRPr="006777BA" w:rsidRDefault="00336E4B" w:rsidP="00336E4B">
            <w:pPr>
              <w:rPr>
                <w:rFonts w:ascii="Times New Roman" w:hAnsi="Times New Roman" w:cs="Times New Roman"/>
                <w:bCs/>
                <w:sz w:val="24"/>
                <w:szCs w:val="24"/>
              </w:rPr>
            </w:pPr>
          </w:p>
          <w:p w14:paraId="59B845E4" w14:textId="77777777" w:rsidR="00336E4B" w:rsidRPr="006777BA" w:rsidRDefault="00336E4B" w:rsidP="00336E4B">
            <w:pPr>
              <w:rPr>
                <w:rFonts w:ascii="Times New Roman" w:hAnsi="Times New Roman" w:cs="Times New Roman"/>
                <w:bCs/>
                <w:sz w:val="24"/>
                <w:szCs w:val="24"/>
              </w:rPr>
            </w:pPr>
          </w:p>
          <w:p w14:paraId="0D5E245B" w14:textId="77777777" w:rsidR="00336E4B" w:rsidRPr="006777BA" w:rsidRDefault="00336E4B" w:rsidP="00336E4B">
            <w:pPr>
              <w:rPr>
                <w:rFonts w:ascii="Verdana" w:hAnsi="Verdana"/>
                <w:b/>
                <w:sz w:val="24"/>
                <w:szCs w:val="24"/>
              </w:rPr>
            </w:pPr>
          </w:p>
        </w:tc>
      </w:tr>
      <w:tr w:rsidR="00A5590E" w:rsidRPr="006777BA" w14:paraId="572B3BDE" w14:textId="77777777" w:rsidTr="00ED45BC">
        <w:trPr>
          <w:trHeight w:val="154"/>
        </w:trPr>
        <w:tc>
          <w:tcPr>
            <w:tcW w:w="8500" w:type="dxa"/>
          </w:tcPr>
          <w:p w14:paraId="3A30E1B5" w14:textId="77777777" w:rsidR="00A5590E" w:rsidRPr="00A5590E" w:rsidRDefault="00A5590E" w:rsidP="00A5590E">
            <w:pPr>
              <w:pStyle w:val="CorpoA"/>
              <w:pBdr>
                <w:top w:val="none" w:sz="0" w:space="0" w:color="auto"/>
                <w:left w:val="none" w:sz="0" w:space="0" w:color="auto"/>
                <w:bottom w:val="none" w:sz="0" w:space="0" w:color="auto"/>
                <w:right w:val="none" w:sz="0" w:space="0" w:color="auto"/>
                <w:between w:val="none" w:sz="0" w:space="0" w:color="auto"/>
                <w:bar w:val="none" w:sz="0" w:color="auto"/>
              </w:pBdr>
              <w:ind w:left="310"/>
              <w:jc w:val="both"/>
              <w:rPr>
                <w:b/>
                <w:bCs/>
                <w:i/>
                <w:color w:val="4472C4" w:themeColor="accent1"/>
                <w:lang w:val="it-IT"/>
              </w:rPr>
            </w:pPr>
            <w:r w:rsidRPr="000F4720">
              <w:rPr>
                <w:b/>
                <w:bCs/>
                <w:i/>
                <w:color w:val="4472C4" w:themeColor="accent1"/>
                <w:lang w:val="it-IT"/>
              </w:rPr>
              <w:t xml:space="preserve">1.1 Il contesto normativo </w:t>
            </w:r>
          </w:p>
        </w:tc>
        <w:tc>
          <w:tcPr>
            <w:tcW w:w="709" w:type="dxa"/>
          </w:tcPr>
          <w:p w14:paraId="004FA7C3" w14:textId="77777777" w:rsidR="00A5590E" w:rsidRPr="000F4720" w:rsidRDefault="00A5590E" w:rsidP="00A5590E">
            <w:pPr>
              <w:jc w:val="right"/>
              <w:rPr>
                <w:rFonts w:ascii="Times New Roman" w:hAnsi="Times New Roman" w:cs="Times New Roman"/>
                <w:bCs/>
                <w:sz w:val="24"/>
                <w:szCs w:val="24"/>
              </w:rPr>
            </w:pPr>
            <w:r w:rsidRPr="000F4720">
              <w:rPr>
                <w:rFonts w:ascii="Times New Roman" w:hAnsi="Times New Roman" w:cs="Times New Roman"/>
                <w:bCs/>
                <w:sz w:val="24"/>
                <w:szCs w:val="24"/>
              </w:rPr>
              <w:t>pag.</w:t>
            </w:r>
          </w:p>
        </w:tc>
        <w:tc>
          <w:tcPr>
            <w:tcW w:w="567" w:type="dxa"/>
          </w:tcPr>
          <w:p w14:paraId="0AE39080" w14:textId="77777777" w:rsidR="00A5590E" w:rsidRPr="006777BA" w:rsidRDefault="00062345" w:rsidP="00336E4B">
            <w:pPr>
              <w:jc w:val="right"/>
              <w:rPr>
                <w:rFonts w:ascii="Times New Roman" w:hAnsi="Times New Roman" w:cs="Times New Roman"/>
                <w:bCs/>
                <w:sz w:val="24"/>
                <w:szCs w:val="24"/>
              </w:rPr>
            </w:pPr>
            <w:r w:rsidRPr="006777BA">
              <w:rPr>
                <w:rFonts w:ascii="Times New Roman" w:hAnsi="Times New Roman" w:cs="Times New Roman"/>
                <w:bCs/>
                <w:sz w:val="24"/>
                <w:szCs w:val="24"/>
              </w:rPr>
              <w:t>3</w:t>
            </w:r>
          </w:p>
        </w:tc>
      </w:tr>
      <w:tr w:rsidR="00A5590E" w:rsidRPr="006777BA" w14:paraId="425AF3B4" w14:textId="77777777" w:rsidTr="00ED45BC">
        <w:trPr>
          <w:trHeight w:val="244"/>
        </w:trPr>
        <w:tc>
          <w:tcPr>
            <w:tcW w:w="8500" w:type="dxa"/>
          </w:tcPr>
          <w:p w14:paraId="30A492CD" w14:textId="77777777" w:rsidR="00A5590E" w:rsidRPr="000F4720" w:rsidRDefault="00A5590E"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ind w:left="310"/>
              <w:jc w:val="both"/>
              <w:rPr>
                <w:b/>
                <w:bCs/>
                <w:i/>
                <w:color w:val="4472C4" w:themeColor="accent1"/>
                <w:lang w:val="it-IT"/>
              </w:rPr>
            </w:pPr>
            <w:r w:rsidRPr="000F4720">
              <w:rPr>
                <w:b/>
                <w:bCs/>
                <w:i/>
                <w:color w:val="4472C4" w:themeColor="accent1"/>
                <w:lang w:val="it-IT"/>
              </w:rPr>
              <w:t xml:space="preserve">1.2 </w:t>
            </w:r>
            <w:r w:rsidRPr="00495637">
              <w:rPr>
                <w:b/>
                <w:bCs/>
                <w:i/>
                <w:color w:val="4472C4" w:themeColor="accent1"/>
                <w:lang w:val="it-IT"/>
              </w:rPr>
              <w:t xml:space="preserve">La </w:t>
            </w:r>
            <w:r>
              <w:rPr>
                <w:b/>
                <w:bCs/>
                <w:i/>
                <w:color w:val="4472C4" w:themeColor="accent1"/>
                <w:lang w:val="it-IT"/>
              </w:rPr>
              <w:t>G</w:t>
            </w:r>
            <w:r w:rsidRPr="006A2E9E">
              <w:rPr>
                <w:b/>
                <w:bCs/>
                <w:i/>
                <w:color w:val="4472C4" w:themeColor="accent1"/>
                <w:lang w:val="it-IT"/>
              </w:rPr>
              <w:t>overnance</w:t>
            </w:r>
            <w:r w:rsidRPr="00495637">
              <w:rPr>
                <w:b/>
                <w:bCs/>
                <w:i/>
                <w:color w:val="4472C4" w:themeColor="accent1"/>
                <w:lang w:val="it-IT"/>
              </w:rPr>
              <w:t>, le semplificazioni e i poteri commissariali</w:t>
            </w:r>
          </w:p>
        </w:tc>
        <w:tc>
          <w:tcPr>
            <w:tcW w:w="709" w:type="dxa"/>
          </w:tcPr>
          <w:p w14:paraId="34A080E4" w14:textId="77777777" w:rsidR="00A5590E" w:rsidRPr="000F4720" w:rsidRDefault="00A5590E" w:rsidP="00A5590E">
            <w:pPr>
              <w:jc w:val="right"/>
              <w:rPr>
                <w:rFonts w:ascii="Times New Roman" w:hAnsi="Times New Roman" w:cs="Times New Roman"/>
                <w:bCs/>
                <w:sz w:val="24"/>
                <w:szCs w:val="24"/>
              </w:rPr>
            </w:pPr>
            <w:r w:rsidRPr="000F4720">
              <w:rPr>
                <w:rFonts w:ascii="Times New Roman" w:hAnsi="Times New Roman" w:cs="Times New Roman"/>
                <w:bCs/>
                <w:sz w:val="24"/>
                <w:szCs w:val="24"/>
              </w:rPr>
              <w:t>pag.</w:t>
            </w:r>
          </w:p>
        </w:tc>
        <w:tc>
          <w:tcPr>
            <w:tcW w:w="567" w:type="dxa"/>
          </w:tcPr>
          <w:p w14:paraId="0C7D6A12" w14:textId="77777777" w:rsidR="00A5590E" w:rsidRPr="006777BA" w:rsidRDefault="00062345" w:rsidP="00336E4B">
            <w:pPr>
              <w:jc w:val="right"/>
              <w:rPr>
                <w:rFonts w:ascii="Times New Roman" w:hAnsi="Times New Roman" w:cs="Times New Roman"/>
                <w:bCs/>
                <w:sz w:val="24"/>
                <w:szCs w:val="24"/>
              </w:rPr>
            </w:pPr>
            <w:r w:rsidRPr="006777BA">
              <w:rPr>
                <w:rFonts w:ascii="Times New Roman" w:hAnsi="Times New Roman" w:cs="Times New Roman"/>
                <w:bCs/>
                <w:sz w:val="24"/>
                <w:szCs w:val="24"/>
              </w:rPr>
              <w:t>4</w:t>
            </w:r>
          </w:p>
        </w:tc>
      </w:tr>
      <w:tr w:rsidR="00336E4B" w:rsidRPr="006777BA" w14:paraId="4C689387" w14:textId="77777777" w:rsidTr="00ED45BC">
        <w:trPr>
          <w:trHeight w:val="262"/>
        </w:trPr>
        <w:tc>
          <w:tcPr>
            <w:tcW w:w="8500" w:type="dxa"/>
          </w:tcPr>
          <w:p w14:paraId="36441EF3" w14:textId="77777777" w:rsidR="00336E4B" w:rsidRPr="000F4720" w:rsidRDefault="00336E4B" w:rsidP="00336E4B">
            <w:pPr>
              <w:jc w:val="both"/>
              <w:rPr>
                <w:rFonts w:ascii="Verdana" w:hAnsi="Verdana"/>
                <w:b/>
                <w:color w:val="C00000"/>
                <w:sz w:val="24"/>
                <w:szCs w:val="24"/>
              </w:rPr>
            </w:pPr>
          </w:p>
        </w:tc>
        <w:tc>
          <w:tcPr>
            <w:tcW w:w="709" w:type="dxa"/>
          </w:tcPr>
          <w:p w14:paraId="6E6432F5" w14:textId="77777777" w:rsidR="00336E4B" w:rsidRPr="000F4720" w:rsidRDefault="00336E4B" w:rsidP="00336E4B">
            <w:pPr>
              <w:rPr>
                <w:rFonts w:ascii="Times New Roman" w:hAnsi="Times New Roman" w:cs="Times New Roman"/>
                <w:bCs/>
                <w:sz w:val="24"/>
                <w:szCs w:val="24"/>
              </w:rPr>
            </w:pPr>
          </w:p>
        </w:tc>
        <w:tc>
          <w:tcPr>
            <w:tcW w:w="567" w:type="dxa"/>
          </w:tcPr>
          <w:p w14:paraId="1503C350" w14:textId="77777777" w:rsidR="00336E4B" w:rsidRPr="006777BA" w:rsidRDefault="00336E4B" w:rsidP="00336E4B">
            <w:pPr>
              <w:rPr>
                <w:rFonts w:ascii="Times New Roman" w:hAnsi="Times New Roman" w:cs="Times New Roman"/>
                <w:bCs/>
                <w:sz w:val="24"/>
                <w:szCs w:val="24"/>
              </w:rPr>
            </w:pPr>
          </w:p>
        </w:tc>
      </w:tr>
      <w:tr w:rsidR="00336E4B" w:rsidRPr="006777BA" w14:paraId="476098CB" w14:textId="77777777" w:rsidTr="00ED45BC">
        <w:trPr>
          <w:trHeight w:val="576"/>
        </w:trPr>
        <w:tc>
          <w:tcPr>
            <w:tcW w:w="8500" w:type="dxa"/>
          </w:tcPr>
          <w:p w14:paraId="62F0761C" w14:textId="77777777" w:rsidR="00336E4B" w:rsidRPr="000F4720" w:rsidRDefault="00336E4B" w:rsidP="00336E4B">
            <w:pPr>
              <w:jc w:val="both"/>
              <w:rPr>
                <w:rFonts w:ascii="Verdana" w:hAnsi="Verdana"/>
                <w:b/>
                <w:color w:val="C00000"/>
                <w:sz w:val="24"/>
                <w:szCs w:val="24"/>
              </w:rPr>
            </w:pPr>
            <w:r w:rsidRPr="000F4720">
              <w:rPr>
                <w:rFonts w:ascii="Verdana" w:hAnsi="Verdana"/>
                <w:b/>
                <w:color w:val="C00000"/>
                <w:sz w:val="24"/>
                <w:szCs w:val="24"/>
              </w:rPr>
              <w:t>Seconda parte</w:t>
            </w:r>
          </w:p>
          <w:p w14:paraId="3DF008BB" w14:textId="77777777" w:rsidR="00336E4B" w:rsidRPr="000F4720" w:rsidRDefault="00336E4B" w:rsidP="00336E4B">
            <w:pPr>
              <w:jc w:val="both"/>
              <w:rPr>
                <w:rFonts w:ascii="Verdana" w:hAnsi="Verdana"/>
                <w:b/>
                <w:color w:val="C00000"/>
                <w:sz w:val="24"/>
                <w:szCs w:val="24"/>
              </w:rPr>
            </w:pPr>
            <w:r w:rsidRPr="000F4720">
              <w:rPr>
                <w:rFonts w:ascii="Verdana" w:hAnsi="Verdana"/>
                <w:b/>
                <w:color w:val="C00000"/>
                <w:sz w:val="24"/>
                <w:szCs w:val="24"/>
              </w:rPr>
              <w:t>Il contesto, i caratteri strutturali e identitari del territorio</w:t>
            </w:r>
          </w:p>
        </w:tc>
        <w:tc>
          <w:tcPr>
            <w:tcW w:w="709" w:type="dxa"/>
          </w:tcPr>
          <w:p w14:paraId="3C8BD1BD" w14:textId="77777777" w:rsidR="00336E4B" w:rsidRPr="000F4720" w:rsidRDefault="00336E4B" w:rsidP="00336E4B">
            <w:pPr>
              <w:jc w:val="right"/>
              <w:rPr>
                <w:rFonts w:ascii="Times New Roman" w:hAnsi="Times New Roman" w:cs="Times New Roman"/>
                <w:bCs/>
                <w:sz w:val="24"/>
                <w:szCs w:val="24"/>
              </w:rPr>
            </w:pPr>
          </w:p>
        </w:tc>
        <w:tc>
          <w:tcPr>
            <w:tcW w:w="567" w:type="dxa"/>
          </w:tcPr>
          <w:p w14:paraId="5AFA1766" w14:textId="77777777" w:rsidR="00336E4B" w:rsidRPr="006777BA" w:rsidRDefault="00336E4B" w:rsidP="00336E4B">
            <w:pPr>
              <w:rPr>
                <w:rFonts w:ascii="Times New Roman" w:hAnsi="Times New Roman" w:cs="Times New Roman"/>
                <w:bCs/>
                <w:sz w:val="24"/>
                <w:szCs w:val="24"/>
              </w:rPr>
            </w:pPr>
          </w:p>
        </w:tc>
      </w:tr>
      <w:tr w:rsidR="00336E4B" w:rsidRPr="006777BA" w14:paraId="2B703F20" w14:textId="77777777" w:rsidTr="00ED45BC">
        <w:tc>
          <w:tcPr>
            <w:tcW w:w="8500" w:type="dxa"/>
          </w:tcPr>
          <w:p w14:paraId="5FD27D6F" w14:textId="77777777" w:rsidR="00336E4B" w:rsidRPr="000F4720" w:rsidRDefault="00336E4B"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ind w:left="310"/>
              <w:jc w:val="both"/>
              <w:rPr>
                <w:rFonts w:ascii="Verdana" w:hAnsi="Verdana"/>
                <w:b/>
                <w:color w:val="C00000"/>
              </w:rPr>
            </w:pPr>
            <w:r w:rsidRPr="000F4720">
              <w:rPr>
                <w:b/>
                <w:bCs/>
                <w:i/>
                <w:color w:val="4472C4" w:themeColor="accent1"/>
                <w:lang w:val="it-IT"/>
              </w:rPr>
              <w:t>2.1 Il Cratere del sisma 2016</w:t>
            </w:r>
          </w:p>
        </w:tc>
        <w:tc>
          <w:tcPr>
            <w:tcW w:w="709" w:type="dxa"/>
          </w:tcPr>
          <w:p w14:paraId="2922F56D" w14:textId="77777777" w:rsidR="00336E4B" w:rsidRPr="000F4720" w:rsidRDefault="00336E4B" w:rsidP="00336E4B">
            <w:pPr>
              <w:jc w:val="right"/>
              <w:rPr>
                <w:rFonts w:ascii="Times New Roman" w:hAnsi="Times New Roman" w:cs="Times New Roman"/>
                <w:bCs/>
                <w:sz w:val="24"/>
                <w:szCs w:val="24"/>
              </w:rPr>
            </w:pPr>
            <w:r w:rsidRPr="000F4720">
              <w:rPr>
                <w:rFonts w:ascii="Times New Roman" w:hAnsi="Times New Roman" w:cs="Times New Roman"/>
                <w:bCs/>
                <w:sz w:val="24"/>
                <w:szCs w:val="24"/>
              </w:rPr>
              <w:t>pag.</w:t>
            </w:r>
          </w:p>
        </w:tc>
        <w:tc>
          <w:tcPr>
            <w:tcW w:w="567" w:type="dxa"/>
          </w:tcPr>
          <w:p w14:paraId="3D2E11DE" w14:textId="77777777" w:rsidR="00336E4B" w:rsidRPr="006777BA" w:rsidRDefault="00062345" w:rsidP="00336E4B">
            <w:pPr>
              <w:jc w:val="right"/>
              <w:rPr>
                <w:rFonts w:ascii="Times New Roman" w:hAnsi="Times New Roman" w:cs="Times New Roman"/>
                <w:bCs/>
                <w:sz w:val="24"/>
                <w:szCs w:val="24"/>
              </w:rPr>
            </w:pPr>
            <w:r w:rsidRPr="006777BA">
              <w:rPr>
                <w:rFonts w:ascii="Times New Roman" w:hAnsi="Times New Roman" w:cs="Times New Roman"/>
                <w:bCs/>
                <w:sz w:val="24"/>
                <w:szCs w:val="24"/>
              </w:rPr>
              <w:t>5</w:t>
            </w:r>
          </w:p>
        </w:tc>
      </w:tr>
      <w:tr w:rsidR="00336E4B" w:rsidRPr="006777BA" w14:paraId="65D66ADD" w14:textId="77777777" w:rsidTr="00ED45BC">
        <w:tc>
          <w:tcPr>
            <w:tcW w:w="8500" w:type="dxa"/>
          </w:tcPr>
          <w:p w14:paraId="0C32816D" w14:textId="77777777" w:rsidR="00336E4B" w:rsidRPr="000F4720" w:rsidRDefault="00336E4B"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ind w:left="310"/>
              <w:jc w:val="both"/>
              <w:rPr>
                <w:b/>
                <w:bCs/>
                <w:i/>
                <w:color w:val="4472C4" w:themeColor="accent1"/>
                <w:lang w:val="it-IT"/>
              </w:rPr>
            </w:pPr>
            <w:r w:rsidRPr="000F4720">
              <w:rPr>
                <w:b/>
                <w:bCs/>
                <w:i/>
                <w:color w:val="4472C4" w:themeColor="accent1"/>
                <w:lang w:val="it-IT"/>
              </w:rPr>
              <w:t>2.2 Il Cratere del sisma 2009</w:t>
            </w:r>
          </w:p>
        </w:tc>
        <w:tc>
          <w:tcPr>
            <w:tcW w:w="709" w:type="dxa"/>
          </w:tcPr>
          <w:p w14:paraId="089BDB10" w14:textId="77777777" w:rsidR="00336E4B" w:rsidRPr="000F4720" w:rsidRDefault="00336E4B"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bCs/>
                <w:color w:val="auto"/>
              </w:rPr>
            </w:pPr>
            <w:proofErr w:type="spellStart"/>
            <w:r w:rsidRPr="000F4720">
              <w:rPr>
                <w:rFonts w:cs="Times New Roman"/>
                <w:bCs/>
                <w:color w:val="auto"/>
              </w:rPr>
              <w:t>pag</w:t>
            </w:r>
            <w:proofErr w:type="spellEnd"/>
            <w:r w:rsidRPr="000F4720">
              <w:rPr>
                <w:rFonts w:cs="Times New Roman"/>
                <w:bCs/>
                <w:color w:val="auto"/>
              </w:rPr>
              <w:t>.</w:t>
            </w:r>
          </w:p>
        </w:tc>
        <w:tc>
          <w:tcPr>
            <w:tcW w:w="567" w:type="dxa"/>
          </w:tcPr>
          <w:p w14:paraId="5E2FAB95" w14:textId="77777777" w:rsidR="00336E4B" w:rsidRPr="006777BA" w:rsidRDefault="00062345"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bCs/>
                <w:color w:val="auto"/>
              </w:rPr>
            </w:pPr>
            <w:r w:rsidRPr="006777BA">
              <w:rPr>
                <w:rFonts w:cs="Times New Roman"/>
                <w:bCs/>
                <w:color w:val="auto"/>
              </w:rPr>
              <w:t>7</w:t>
            </w:r>
          </w:p>
        </w:tc>
      </w:tr>
      <w:tr w:rsidR="00336E4B" w:rsidRPr="006777BA" w14:paraId="2CF09966" w14:textId="77777777" w:rsidTr="00ED45BC">
        <w:trPr>
          <w:trHeight w:val="231"/>
        </w:trPr>
        <w:tc>
          <w:tcPr>
            <w:tcW w:w="8500" w:type="dxa"/>
          </w:tcPr>
          <w:p w14:paraId="6DCE8429" w14:textId="77777777" w:rsidR="00336E4B" w:rsidRPr="000F4720" w:rsidRDefault="00336E4B"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ind w:left="310"/>
              <w:jc w:val="both"/>
              <w:rPr>
                <w:b/>
                <w:bCs/>
                <w:i/>
                <w:color w:val="4472C4" w:themeColor="accent1"/>
                <w:lang w:val="it-IT"/>
              </w:rPr>
            </w:pPr>
            <w:r w:rsidRPr="000F4720">
              <w:rPr>
                <w:b/>
                <w:bCs/>
                <w:i/>
                <w:color w:val="4472C4" w:themeColor="accent1"/>
                <w:lang w:val="it-IT"/>
              </w:rPr>
              <w:t>2.3 Le caratteristiche comuni dei territori dei crateri dei terremoti 2009 e 2016</w:t>
            </w:r>
          </w:p>
        </w:tc>
        <w:tc>
          <w:tcPr>
            <w:tcW w:w="709" w:type="dxa"/>
          </w:tcPr>
          <w:p w14:paraId="26B11DF8" w14:textId="77777777" w:rsidR="00336E4B" w:rsidRPr="000F4720" w:rsidRDefault="00336E4B"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bCs/>
                <w:color w:val="auto"/>
                <w:lang w:val="it-IT"/>
              </w:rPr>
            </w:pPr>
            <w:proofErr w:type="spellStart"/>
            <w:r w:rsidRPr="000F4720">
              <w:rPr>
                <w:rFonts w:cs="Times New Roman"/>
                <w:bCs/>
                <w:color w:val="auto"/>
              </w:rPr>
              <w:t>pag</w:t>
            </w:r>
            <w:proofErr w:type="spellEnd"/>
            <w:r w:rsidRPr="000F4720">
              <w:rPr>
                <w:rFonts w:cs="Times New Roman"/>
                <w:bCs/>
                <w:color w:val="auto"/>
              </w:rPr>
              <w:t>.</w:t>
            </w:r>
            <w:r w:rsidRPr="000F4720">
              <w:rPr>
                <w:rFonts w:cs="Times New Roman"/>
                <w:bCs/>
                <w:color w:val="auto"/>
                <w:lang w:val="it-IT"/>
              </w:rPr>
              <w:t xml:space="preserve">  </w:t>
            </w:r>
          </w:p>
        </w:tc>
        <w:tc>
          <w:tcPr>
            <w:tcW w:w="567" w:type="dxa"/>
          </w:tcPr>
          <w:p w14:paraId="73D77D58" w14:textId="77777777" w:rsidR="00336E4B" w:rsidRPr="006777BA" w:rsidRDefault="00062345"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jc w:val="right"/>
              <w:rPr>
                <w:b/>
                <w:bCs/>
                <w:i/>
                <w:color w:val="auto"/>
                <w:lang w:val="it-IT"/>
              </w:rPr>
            </w:pPr>
            <w:r w:rsidRPr="006777BA">
              <w:rPr>
                <w:rFonts w:cs="Times New Roman"/>
                <w:bCs/>
                <w:color w:val="auto"/>
                <w:lang w:val="it-IT"/>
              </w:rPr>
              <w:t>9</w:t>
            </w:r>
          </w:p>
        </w:tc>
      </w:tr>
      <w:tr w:rsidR="00336E4B" w:rsidRPr="006777BA" w14:paraId="145D3623" w14:textId="77777777" w:rsidTr="00ED45BC">
        <w:tc>
          <w:tcPr>
            <w:tcW w:w="8500" w:type="dxa"/>
          </w:tcPr>
          <w:p w14:paraId="25399E6C" w14:textId="77777777" w:rsidR="00336E4B" w:rsidRPr="000F4720" w:rsidRDefault="00336E4B" w:rsidP="00336E4B">
            <w:pPr>
              <w:jc w:val="both"/>
              <w:rPr>
                <w:rFonts w:ascii="Verdana" w:hAnsi="Verdana"/>
                <w:b/>
                <w:color w:val="C00000"/>
              </w:rPr>
            </w:pPr>
          </w:p>
        </w:tc>
        <w:tc>
          <w:tcPr>
            <w:tcW w:w="709" w:type="dxa"/>
          </w:tcPr>
          <w:p w14:paraId="2E7F49D6" w14:textId="77777777" w:rsidR="00336E4B" w:rsidRPr="000F4720" w:rsidRDefault="00336E4B" w:rsidP="00336E4B">
            <w:pPr>
              <w:jc w:val="right"/>
              <w:rPr>
                <w:rFonts w:ascii="Verdana" w:hAnsi="Verdana"/>
                <w:b/>
              </w:rPr>
            </w:pPr>
          </w:p>
        </w:tc>
        <w:tc>
          <w:tcPr>
            <w:tcW w:w="567" w:type="dxa"/>
          </w:tcPr>
          <w:p w14:paraId="64405DD9" w14:textId="77777777" w:rsidR="00336E4B" w:rsidRPr="006777BA" w:rsidRDefault="00336E4B" w:rsidP="00336E4B">
            <w:pPr>
              <w:jc w:val="both"/>
              <w:rPr>
                <w:rFonts w:ascii="Verdana" w:hAnsi="Verdana"/>
                <w:b/>
              </w:rPr>
            </w:pPr>
          </w:p>
        </w:tc>
      </w:tr>
      <w:tr w:rsidR="00336E4B" w:rsidRPr="006777BA" w14:paraId="3DA3E0AD" w14:textId="77777777" w:rsidTr="00ED45BC">
        <w:tc>
          <w:tcPr>
            <w:tcW w:w="8500" w:type="dxa"/>
          </w:tcPr>
          <w:p w14:paraId="56F28A32" w14:textId="77777777" w:rsidR="00336E4B" w:rsidRPr="000F4720" w:rsidRDefault="00336E4B" w:rsidP="00336E4B">
            <w:pPr>
              <w:jc w:val="both"/>
              <w:rPr>
                <w:rFonts w:ascii="Verdana" w:hAnsi="Verdana"/>
                <w:b/>
                <w:color w:val="C00000"/>
                <w:sz w:val="24"/>
                <w:szCs w:val="24"/>
              </w:rPr>
            </w:pPr>
            <w:r w:rsidRPr="000F4720">
              <w:rPr>
                <w:rFonts w:ascii="Verdana" w:hAnsi="Verdana"/>
                <w:b/>
                <w:color w:val="C00000"/>
                <w:sz w:val="24"/>
                <w:szCs w:val="24"/>
              </w:rPr>
              <w:t>Terza parte</w:t>
            </w:r>
          </w:p>
          <w:p w14:paraId="31AC83D2" w14:textId="77777777" w:rsidR="00336E4B" w:rsidRPr="000F4720" w:rsidRDefault="00336E4B" w:rsidP="00336E4B">
            <w:pPr>
              <w:jc w:val="both"/>
              <w:rPr>
                <w:rFonts w:ascii="Verdana" w:hAnsi="Verdana"/>
                <w:b/>
                <w:color w:val="C00000"/>
                <w:sz w:val="24"/>
                <w:szCs w:val="24"/>
              </w:rPr>
            </w:pPr>
            <w:r w:rsidRPr="000F4720">
              <w:rPr>
                <w:rFonts w:ascii="Verdana" w:hAnsi="Verdana"/>
                <w:b/>
                <w:color w:val="C00000"/>
                <w:sz w:val="24"/>
                <w:szCs w:val="24"/>
              </w:rPr>
              <w:t>Una strategia unitaria di sviluppo per le aree dei sismi del Centro Italia</w:t>
            </w:r>
          </w:p>
        </w:tc>
        <w:tc>
          <w:tcPr>
            <w:tcW w:w="709" w:type="dxa"/>
          </w:tcPr>
          <w:p w14:paraId="4249D918" w14:textId="77777777" w:rsidR="00583F5A" w:rsidRDefault="00583F5A" w:rsidP="002C00ED">
            <w:pPr>
              <w:jc w:val="right"/>
              <w:rPr>
                <w:rFonts w:ascii="Times New Roman" w:hAnsi="Times New Roman" w:cs="Times New Roman"/>
                <w:bCs/>
                <w:sz w:val="24"/>
                <w:szCs w:val="24"/>
              </w:rPr>
            </w:pPr>
          </w:p>
          <w:p w14:paraId="261A4456" w14:textId="77777777" w:rsidR="00336E4B" w:rsidRPr="000F4720" w:rsidRDefault="00336E4B" w:rsidP="002C00ED">
            <w:pPr>
              <w:jc w:val="right"/>
              <w:rPr>
                <w:rFonts w:ascii="Times New Roman" w:hAnsi="Times New Roman" w:cs="Times New Roman"/>
                <w:bCs/>
                <w:sz w:val="24"/>
                <w:szCs w:val="24"/>
              </w:rPr>
            </w:pPr>
            <w:r w:rsidRPr="000F4720">
              <w:rPr>
                <w:rFonts w:ascii="Times New Roman" w:hAnsi="Times New Roman" w:cs="Times New Roman"/>
                <w:bCs/>
                <w:sz w:val="24"/>
                <w:szCs w:val="24"/>
              </w:rPr>
              <w:t>pag.</w:t>
            </w:r>
          </w:p>
        </w:tc>
        <w:tc>
          <w:tcPr>
            <w:tcW w:w="567" w:type="dxa"/>
          </w:tcPr>
          <w:p w14:paraId="58BC702E" w14:textId="77777777" w:rsidR="00583F5A" w:rsidRPr="006777BA" w:rsidRDefault="00583F5A" w:rsidP="002C00ED">
            <w:pPr>
              <w:jc w:val="right"/>
              <w:rPr>
                <w:rFonts w:ascii="Times New Roman" w:hAnsi="Times New Roman" w:cs="Times New Roman"/>
                <w:bCs/>
                <w:sz w:val="24"/>
                <w:szCs w:val="24"/>
              </w:rPr>
            </w:pPr>
          </w:p>
          <w:p w14:paraId="502885DA" w14:textId="77777777" w:rsidR="00336E4B" w:rsidRPr="006777BA" w:rsidRDefault="00062345" w:rsidP="002C00ED">
            <w:pPr>
              <w:jc w:val="right"/>
              <w:rPr>
                <w:rFonts w:ascii="Verdana" w:hAnsi="Verdana"/>
                <w:b/>
                <w:sz w:val="24"/>
                <w:szCs w:val="24"/>
              </w:rPr>
            </w:pPr>
            <w:r w:rsidRPr="006777BA">
              <w:rPr>
                <w:rFonts w:ascii="Times New Roman" w:hAnsi="Times New Roman" w:cs="Times New Roman"/>
                <w:bCs/>
                <w:sz w:val="24"/>
                <w:szCs w:val="24"/>
              </w:rPr>
              <w:t>11</w:t>
            </w:r>
          </w:p>
        </w:tc>
      </w:tr>
      <w:tr w:rsidR="00336E4B" w:rsidRPr="006777BA" w14:paraId="290B2172" w14:textId="77777777" w:rsidTr="00ED45BC">
        <w:tc>
          <w:tcPr>
            <w:tcW w:w="8500" w:type="dxa"/>
          </w:tcPr>
          <w:p w14:paraId="52EF1694" w14:textId="77777777" w:rsidR="00336E4B" w:rsidRPr="000F4720" w:rsidRDefault="00336E4B"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ind w:left="310"/>
              <w:jc w:val="both"/>
              <w:rPr>
                <w:b/>
                <w:bCs/>
                <w:i/>
                <w:color w:val="4472C4" w:themeColor="accent1"/>
                <w:lang w:val="it-IT"/>
              </w:rPr>
            </w:pPr>
            <w:r w:rsidRPr="000F4720">
              <w:rPr>
                <w:b/>
                <w:bCs/>
                <w:i/>
                <w:color w:val="4472C4" w:themeColor="accent1"/>
                <w:lang w:val="it-IT"/>
              </w:rPr>
              <w:t>3.1 Città e borghi sicuri, accoglienti e sostenibili</w:t>
            </w:r>
          </w:p>
        </w:tc>
        <w:tc>
          <w:tcPr>
            <w:tcW w:w="709" w:type="dxa"/>
          </w:tcPr>
          <w:p w14:paraId="3941FB6A" w14:textId="77777777" w:rsidR="00336E4B" w:rsidRPr="000F4720" w:rsidRDefault="00336E4B"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bCs/>
                <w:color w:val="auto"/>
                <w:lang w:val="it-IT"/>
              </w:rPr>
            </w:pPr>
            <w:proofErr w:type="spellStart"/>
            <w:r w:rsidRPr="000F4720">
              <w:rPr>
                <w:rFonts w:cs="Times New Roman"/>
                <w:bCs/>
                <w:color w:val="auto"/>
              </w:rPr>
              <w:t>pag</w:t>
            </w:r>
            <w:proofErr w:type="spellEnd"/>
            <w:r w:rsidRPr="000F4720">
              <w:rPr>
                <w:rFonts w:cs="Times New Roman"/>
                <w:bCs/>
                <w:color w:val="auto"/>
              </w:rPr>
              <w:t>.</w:t>
            </w:r>
          </w:p>
        </w:tc>
        <w:tc>
          <w:tcPr>
            <w:tcW w:w="567" w:type="dxa"/>
          </w:tcPr>
          <w:p w14:paraId="3356EE92" w14:textId="77777777" w:rsidR="00336E4B" w:rsidRPr="006777BA" w:rsidRDefault="00062345"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jc w:val="right"/>
              <w:rPr>
                <w:b/>
                <w:bCs/>
                <w:i/>
                <w:color w:val="auto"/>
                <w:lang w:val="it-IT"/>
              </w:rPr>
            </w:pPr>
            <w:r w:rsidRPr="006777BA">
              <w:rPr>
                <w:rFonts w:cs="Times New Roman"/>
                <w:bCs/>
                <w:color w:val="auto"/>
                <w:lang w:val="it-IT"/>
              </w:rPr>
              <w:t>12</w:t>
            </w:r>
          </w:p>
        </w:tc>
      </w:tr>
      <w:tr w:rsidR="00336E4B" w:rsidRPr="006777BA" w14:paraId="72546F86" w14:textId="77777777" w:rsidTr="00ED45BC">
        <w:tc>
          <w:tcPr>
            <w:tcW w:w="8500" w:type="dxa"/>
          </w:tcPr>
          <w:p w14:paraId="2B0ED40E" w14:textId="77777777" w:rsidR="00336E4B" w:rsidRPr="000F4720" w:rsidRDefault="00336E4B"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ind w:left="310"/>
              <w:jc w:val="both"/>
              <w:rPr>
                <w:b/>
                <w:bCs/>
                <w:i/>
                <w:color w:val="4472C4" w:themeColor="accent1"/>
                <w:lang w:val="it-IT"/>
              </w:rPr>
            </w:pPr>
            <w:r w:rsidRPr="000F4720">
              <w:rPr>
                <w:b/>
                <w:bCs/>
                <w:i/>
                <w:color w:val="4472C4" w:themeColor="accent1"/>
                <w:lang w:val="it-IT"/>
              </w:rPr>
              <w:t>3.2 Riorganizzazione policentrica dei servizi al territorio e relativa infrastrutturazione digitale</w:t>
            </w:r>
          </w:p>
        </w:tc>
        <w:tc>
          <w:tcPr>
            <w:tcW w:w="709" w:type="dxa"/>
          </w:tcPr>
          <w:p w14:paraId="72E9D50E" w14:textId="77777777" w:rsidR="00336E4B" w:rsidRPr="000F4720" w:rsidRDefault="00336E4B"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bCs/>
                <w:color w:val="auto"/>
                <w:lang w:val="it-IT"/>
              </w:rPr>
            </w:pPr>
            <w:proofErr w:type="spellStart"/>
            <w:r w:rsidRPr="000F4720">
              <w:rPr>
                <w:rFonts w:cs="Times New Roman"/>
                <w:bCs/>
                <w:color w:val="auto"/>
              </w:rPr>
              <w:t>pag</w:t>
            </w:r>
            <w:proofErr w:type="spellEnd"/>
            <w:r w:rsidRPr="000F4720">
              <w:rPr>
                <w:rFonts w:cs="Times New Roman"/>
                <w:bCs/>
                <w:color w:val="auto"/>
              </w:rPr>
              <w:t>.</w:t>
            </w:r>
          </w:p>
        </w:tc>
        <w:tc>
          <w:tcPr>
            <w:tcW w:w="567" w:type="dxa"/>
          </w:tcPr>
          <w:p w14:paraId="0F9F6E3A" w14:textId="77777777" w:rsidR="00336E4B" w:rsidRPr="006777BA" w:rsidRDefault="00062345"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jc w:val="right"/>
              <w:rPr>
                <w:b/>
                <w:bCs/>
                <w:i/>
                <w:color w:val="auto"/>
                <w:lang w:val="it-IT"/>
              </w:rPr>
            </w:pPr>
            <w:r w:rsidRPr="006777BA">
              <w:rPr>
                <w:rFonts w:cs="Times New Roman"/>
                <w:bCs/>
                <w:color w:val="auto"/>
                <w:lang w:val="it-IT"/>
              </w:rPr>
              <w:t>13</w:t>
            </w:r>
          </w:p>
        </w:tc>
      </w:tr>
      <w:tr w:rsidR="00336E4B" w:rsidRPr="006777BA" w14:paraId="3B98F218" w14:textId="77777777" w:rsidTr="00ED45BC">
        <w:tc>
          <w:tcPr>
            <w:tcW w:w="8500" w:type="dxa"/>
          </w:tcPr>
          <w:p w14:paraId="2C475A52" w14:textId="77777777" w:rsidR="00336E4B" w:rsidRPr="000F4720" w:rsidRDefault="00336E4B"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ind w:left="310"/>
              <w:jc w:val="both"/>
              <w:rPr>
                <w:b/>
                <w:bCs/>
                <w:i/>
                <w:color w:val="4472C4" w:themeColor="accent1"/>
                <w:lang w:val="it-IT"/>
              </w:rPr>
            </w:pPr>
            <w:r w:rsidRPr="000F4720">
              <w:rPr>
                <w:b/>
                <w:bCs/>
                <w:i/>
                <w:color w:val="4472C4" w:themeColor="accent1"/>
                <w:lang w:val="it-IT"/>
              </w:rPr>
              <w:t>3.3 Miglioramento delle connessioni e della mobilità</w:t>
            </w:r>
          </w:p>
        </w:tc>
        <w:tc>
          <w:tcPr>
            <w:tcW w:w="709" w:type="dxa"/>
          </w:tcPr>
          <w:p w14:paraId="4860D255" w14:textId="77777777" w:rsidR="00336E4B" w:rsidRPr="000F4720" w:rsidRDefault="00336E4B"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bCs/>
                <w:color w:val="auto"/>
                <w:lang w:val="it-IT"/>
              </w:rPr>
            </w:pPr>
            <w:proofErr w:type="spellStart"/>
            <w:r w:rsidRPr="000F4720">
              <w:rPr>
                <w:rFonts w:cs="Times New Roman"/>
                <w:bCs/>
                <w:color w:val="auto"/>
              </w:rPr>
              <w:t>pag</w:t>
            </w:r>
            <w:proofErr w:type="spellEnd"/>
            <w:r w:rsidRPr="000F4720">
              <w:rPr>
                <w:rFonts w:cs="Times New Roman"/>
                <w:bCs/>
                <w:color w:val="auto"/>
              </w:rPr>
              <w:t>.</w:t>
            </w:r>
          </w:p>
        </w:tc>
        <w:tc>
          <w:tcPr>
            <w:tcW w:w="567" w:type="dxa"/>
          </w:tcPr>
          <w:p w14:paraId="4571D8DA" w14:textId="77777777" w:rsidR="00336E4B" w:rsidRPr="006777BA" w:rsidRDefault="00062345"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jc w:val="right"/>
              <w:rPr>
                <w:b/>
                <w:bCs/>
                <w:i/>
                <w:color w:val="auto"/>
                <w:lang w:val="it-IT"/>
              </w:rPr>
            </w:pPr>
            <w:r w:rsidRPr="006777BA">
              <w:rPr>
                <w:rFonts w:cs="Times New Roman"/>
                <w:bCs/>
                <w:color w:val="auto"/>
                <w:lang w:val="it-IT"/>
              </w:rPr>
              <w:t>13</w:t>
            </w:r>
          </w:p>
        </w:tc>
      </w:tr>
      <w:tr w:rsidR="00336E4B" w:rsidRPr="006777BA" w14:paraId="0BF18E0C" w14:textId="77777777" w:rsidTr="00ED45BC">
        <w:tc>
          <w:tcPr>
            <w:tcW w:w="8500" w:type="dxa"/>
          </w:tcPr>
          <w:p w14:paraId="758C66D2" w14:textId="77777777" w:rsidR="00336E4B" w:rsidRPr="000F4720" w:rsidRDefault="00336E4B"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ind w:left="310"/>
              <w:jc w:val="both"/>
              <w:rPr>
                <w:b/>
                <w:bCs/>
                <w:i/>
                <w:color w:val="4472C4" w:themeColor="accent1"/>
                <w:lang w:val="it-IT"/>
              </w:rPr>
            </w:pPr>
            <w:r w:rsidRPr="000F4720">
              <w:rPr>
                <w:b/>
                <w:bCs/>
                <w:i/>
                <w:color w:val="4472C4" w:themeColor="accent1"/>
                <w:lang w:val="it-IT"/>
              </w:rPr>
              <w:t>3.4 Valorizzazione del patrimonio naturale, culturale e paesaggistico</w:t>
            </w:r>
          </w:p>
        </w:tc>
        <w:tc>
          <w:tcPr>
            <w:tcW w:w="709" w:type="dxa"/>
          </w:tcPr>
          <w:p w14:paraId="265179E8" w14:textId="77777777" w:rsidR="00336E4B" w:rsidRPr="000F4720" w:rsidRDefault="00336E4B"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bCs/>
                <w:color w:val="auto"/>
                <w:lang w:val="it-IT"/>
              </w:rPr>
            </w:pPr>
            <w:proofErr w:type="spellStart"/>
            <w:r w:rsidRPr="000F4720">
              <w:rPr>
                <w:rFonts w:cs="Times New Roman"/>
                <w:bCs/>
                <w:color w:val="auto"/>
              </w:rPr>
              <w:t>pag</w:t>
            </w:r>
            <w:proofErr w:type="spellEnd"/>
            <w:r w:rsidRPr="000F4720">
              <w:rPr>
                <w:rFonts w:cs="Times New Roman"/>
                <w:bCs/>
                <w:color w:val="auto"/>
              </w:rPr>
              <w:t>.</w:t>
            </w:r>
          </w:p>
        </w:tc>
        <w:tc>
          <w:tcPr>
            <w:tcW w:w="567" w:type="dxa"/>
          </w:tcPr>
          <w:p w14:paraId="1EBE7740" w14:textId="77777777" w:rsidR="00336E4B" w:rsidRPr="006777BA" w:rsidRDefault="00062345"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jc w:val="right"/>
              <w:rPr>
                <w:b/>
                <w:bCs/>
                <w:i/>
                <w:color w:val="auto"/>
                <w:lang w:val="it-IT"/>
              </w:rPr>
            </w:pPr>
            <w:r w:rsidRPr="006777BA">
              <w:rPr>
                <w:rFonts w:cs="Times New Roman"/>
                <w:bCs/>
                <w:color w:val="auto"/>
                <w:lang w:val="it-IT"/>
              </w:rPr>
              <w:t>15</w:t>
            </w:r>
          </w:p>
        </w:tc>
      </w:tr>
      <w:tr w:rsidR="00336E4B" w:rsidRPr="006777BA" w14:paraId="714DB381" w14:textId="77777777" w:rsidTr="00ED45BC">
        <w:tc>
          <w:tcPr>
            <w:tcW w:w="8500" w:type="dxa"/>
          </w:tcPr>
          <w:p w14:paraId="4CE313E3" w14:textId="77777777" w:rsidR="00336E4B" w:rsidRPr="000F4720" w:rsidRDefault="00336E4B"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ind w:left="310"/>
              <w:jc w:val="both"/>
              <w:rPr>
                <w:b/>
                <w:bCs/>
                <w:i/>
                <w:color w:val="4472C4" w:themeColor="accent1"/>
                <w:lang w:val="it-IT"/>
              </w:rPr>
            </w:pPr>
            <w:r w:rsidRPr="000F4720">
              <w:rPr>
                <w:b/>
                <w:bCs/>
                <w:i/>
                <w:color w:val="4472C4" w:themeColor="accent1"/>
                <w:lang w:val="it-IT"/>
              </w:rPr>
              <w:t>3.5 Riorganizzazione di agricoltura, zootecnia, silvicoltura e pesca</w:t>
            </w:r>
          </w:p>
        </w:tc>
        <w:tc>
          <w:tcPr>
            <w:tcW w:w="709" w:type="dxa"/>
          </w:tcPr>
          <w:p w14:paraId="3E7EC7C7" w14:textId="77777777" w:rsidR="00336E4B" w:rsidRPr="000F4720" w:rsidRDefault="00336E4B"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bCs/>
                <w:color w:val="auto"/>
                <w:lang w:val="it-IT"/>
              </w:rPr>
            </w:pPr>
            <w:proofErr w:type="spellStart"/>
            <w:r w:rsidRPr="000F4720">
              <w:rPr>
                <w:rFonts w:cs="Times New Roman"/>
                <w:bCs/>
                <w:color w:val="auto"/>
              </w:rPr>
              <w:t>pag</w:t>
            </w:r>
            <w:proofErr w:type="spellEnd"/>
            <w:r w:rsidRPr="000F4720">
              <w:rPr>
                <w:rFonts w:cs="Times New Roman"/>
                <w:bCs/>
                <w:color w:val="auto"/>
              </w:rPr>
              <w:t>.</w:t>
            </w:r>
          </w:p>
        </w:tc>
        <w:tc>
          <w:tcPr>
            <w:tcW w:w="567" w:type="dxa"/>
          </w:tcPr>
          <w:p w14:paraId="20C2EEBE" w14:textId="77777777" w:rsidR="00336E4B" w:rsidRPr="006777BA" w:rsidRDefault="00062345"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jc w:val="right"/>
              <w:rPr>
                <w:b/>
                <w:bCs/>
                <w:i/>
                <w:color w:val="auto"/>
                <w:lang w:val="it-IT"/>
              </w:rPr>
            </w:pPr>
            <w:r w:rsidRPr="006777BA">
              <w:rPr>
                <w:rFonts w:cs="Times New Roman"/>
                <w:bCs/>
                <w:color w:val="auto"/>
                <w:lang w:val="it-IT"/>
              </w:rPr>
              <w:t>16</w:t>
            </w:r>
          </w:p>
        </w:tc>
      </w:tr>
      <w:tr w:rsidR="00336E4B" w:rsidRPr="006777BA" w14:paraId="3BFCDBDA" w14:textId="77777777" w:rsidTr="00ED45BC">
        <w:tc>
          <w:tcPr>
            <w:tcW w:w="8500" w:type="dxa"/>
          </w:tcPr>
          <w:p w14:paraId="4CEC5CD0" w14:textId="77777777" w:rsidR="00336E4B" w:rsidRPr="000F4720" w:rsidRDefault="00336E4B"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ind w:left="310"/>
              <w:jc w:val="both"/>
              <w:rPr>
                <w:b/>
                <w:bCs/>
                <w:i/>
                <w:color w:val="4472C4" w:themeColor="accent1"/>
                <w:lang w:val="it-IT"/>
              </w:rPr>
            </w:pPr>
            <w:r w:rsidRPr="000F4720">
              <w:rPr>
                <w:b/>
                <w:bCs/>
                <w:i/>
                <w:color w:val="4472C4" w:themeColor="accent1"/>
                <w:lang w:val="it-IT"/>
              </w:rPr>
              <w:t>3.6 Valorizzazione delle attività relative al terziario, con particolare attenzione al turismo, ed ai servizi sociali per il sostegno alla residenzialità</w:t>
            </w:r>
          </w:p>
        </w:tc>
        <w:tc>
          <w:tcPr>
            <w:tcW w:w="709" w:type="dxa"/>
          </w:tcPr>
          <w:p w14:paraId="22B188A2" w14:textId="77777777" w:rsidR="00336E4B" w:rsidRPr="000F4720" w:rsidRDefault="00336E4B"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bCs/>
                <w:color w:val="auto"/>
                <w:lang w:val="it-IT"/>
              </w:rPr>
            </w:pPr>
            <w:proofErr w:type="spellStart"/>
            <w:r w:rsidRPr="000F4720">
              <w:rPr>
                <w:rFonts w:cs="Times New Roman"/>
                <w:bCs/>
                <w:color w:val="auto"/>
              </w:rPr>
              <w:t>pag</w:t>
            </w:r>
            <w:proofErr w:type="spellEnd"/>
            <w:r w:rsidRPr="000F4720">
              <w:rPr>
                <w:rFonts w:cs="Times New Roman"/>
                <w:bCs/>
                <w:color w:val="auto"/>
              </w:rPr>
              <w:t>.</w:t>
            </w:r>
          </w:p>
        </w:tc>
        <w:tc>
          <w:tcPr>
            <w:tcW w:w="567" w:type="dxa"/>
          </w:tcPr>
          <w:p w14:paraId="0FD36601" w14:textId="77777777" w:rsidR="00336E4B" w:rsidRPr="006777BA" w:rsidRDefault="00062345"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jc w:val="right"/>
              <w:rPr>
                <w:b/>
                <w:bCs/>
                <w:i/>
                <w:color w:val="auto"/>
                <w:lang w:val="it-IT"/>
              </w:rPr>
            </w:pPr>
            <w:r w:rsidRPr="006777BA">
              <w:rPr>
                <w:rFonts w:cs="Times New Roman"/>
                <w:bCs/>
                <w:color w:val="auto"/>
                <w:lang w:val="it-IT"/>
              </w:rPr>
              <w:t>16</w:t>
            </w:r>
          </w:p>
        </w:tc>
      </w:tr>
      <w:tr w:rsidR="00336E4B" w:rsidRPr="006777BA" w14:paraId="44F15B0E" w14:textId="77777777" w:rsidTr="00ED45BC">
        <w:tc>
          <w:tcPr>
            <w:tcW w:w="8500" w:type="dxa"/>
          </w:tcPr>
          <w:p w14:paraId="6E8B0978" w14:textId="77777777" w:rsidR="00336E4B" w:rsidRPr="000F4720" w:rsidRDefault="00336E4B"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ind w:left="310"/>
              <w:jc w:val="both"/>
              <w:rPr>
                <w:b/>
                <w:bCs/>
                <w:i/>
                <w:color w:val="4472C4" w:themeColor="accent1"/>
                <w:lang w:val="it-IT"/>
              </w:rPr>
            </w:pPr>
            <w:r w:rsidRPr="000F4720">
              <w:rPr>
                <w:b/>
                <w:bCs/>
                <w:i/>
                <w:color w:val="4472C4" w:themeColor="accent1"/>
                <w:lang w:val="it-IT"/>
              </w:rPr>
              <w:t>3.7 Innovazione della produzione manifatturiera e sostegno agli investimenti</w:t>
            </w:r>
          </w:p>
        </w:tc>
        <w:tc>
          <w:tcPr>
            <w:tcW w:w="709" w:type="dxa"/>
          </w:tcPr>
          <w:p w14:paraId="66F7212D" w14:textId="77777777" w:rsidR="00336E4B" w:rsidRPr="000F4720" w:rsidRDefault="00336E4B"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bCs/>
                <w:color w:val="auto"/>
                <w:lang w:val="it-IT"/>
              </w:rPr>
            </w:pPr>
            <w:proofErr w:type="spellStart"/>
            <w:r w:rsidRPr="000F4720">
              <w:rPr>
                <w:rFonts w:cs="Times New Roman"/>
                <w:bCs/>
                <w:color w:val="auto"/>
              </w:rPr>
              <w:t>pag</w:t>
            </w:r>
            <w:proofErr w:type="spellEnd"/>
            <w:r w:rsidRPr="000F4720">
              <w:rPr>
                <w:rFonts w:cs="Times New Roman"/>
                <w:bCs/>
                <w:color w:val="auto"/>
              </w:rPr>
              <w:t>.</w:t>
            </w:r>
          </w:p>
        </w:tc>
        <w:tc>
          <w:tcPr>
            <w:tcW w:w="567" w:type="dxa"/>
          </w:tcPr>
          <w:p w14:paraId="31C09A6F" w14:textId="77777777" w:rsidR="00336E4B" w:rsidRPr="006777BA" w:rsidRDefault="00062345"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jc w:val="right"/>
              <w:rPr>
                <w:b/>
                <w:bCs/>
                <w:i/>
                <w:color w:val="auto"/>
                <w:lang w:val="it-IT"/>
              </w:rPr>
            </w:pPr>
            <w:r w:rsidRPr="006777BA">
              <w:rPr>
                <w:rFonts w:cs="Times New Roman"/>
                <w:bCs/>
                <w:color w:val="auto"/>
                <w:lang w:val="it-IT"/>
              </w:rPr>
              <w:t>17</w:t>
            </w:r>
          </w:p>
        </w:tc>
      </w:tr>
      <w:tr w:rsidR="00336E4B" w:rsidRPr="006777BA" w14:paraId="3CD15DA3" w14:textId="77777777" w:rsidTr="00ED45BC">
        <w:tc>
          <w:tcPr>
            <w:tcW w:w="8500" w:type="dxa"/>
          </w:tcPr>
          <w:p w14:paraId="7A3F13E8" w14:textId="77777777" w:rsidR="00336E4B" w:rsidRPr="000F4720" w:rsidRDefault="00336E4B"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ind w:left="310"/>
              <w:jc w:val="both"/>
              <w:rPr>
                <w:b/>
                <w:bCs/>
                <w:i/>
                <w:color w:val="4472C4" w:themeColor="accent1"/>
                <w:lang w:val="it-IT"/>
              </w:rPr>
            </w:pPr>
            <w:r w:rsidRPr="000F4720">
              <w:rPr>
                <w:b/>
                <w:bCs/>
                <w:i/>
                <w:color w:val="4472C4" w:themeColor="accent1"/>
                <w:lang w:val="it-IT"/>
              </w:rPr>
              <w:t>3.8 Innalzamento dei livelli della ricerca e migliore diffusione delle conoscenze</w:t>
            </w:r>
          </w:p>
        </w:tc>
        <w:tc>
          <w:tcPr>
            <w:tcW w:w="709" w:type="dxa"/>
          </w:tcPr>
          <w:p w14:paraId="60EB93BB" w14:textId="77777777" w:rsidR="00336E4B" w:rsidRPr="000F4720" w:rsidRDefault="00336E4B"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bCs/>
                <w:color w:val="auto"/>
                <w:lang w:val="it-IT"/>
              </w:rPr>
            </w:pPr>
            <w:proofErr w:type="spellStart"/>
            <w:r w:rsidRPr="000F4720">
              <w:rPr>
                <w:rFonts w:cs="Times New Roman"/>
                <w:bCs/>
                <w:color w:val="auto"/>
              </w:rPr>
              <w:t>pag</w:t>
            </w:r>
            <w:proofErr w:type="spellEnd"/>
            <w:r w:rsidRPr="000F4720">
              <w:rPr>
                <w:rFonts w:cs="Times New Roman"/>
                <w:bCs/>
                <w:color w:val="auto"/>
              </w:rPr>
              <w:t>.</w:t>
            </w:r>
          </w:p>
        </w:tc>
        <w:tc>
          <w:tcPr>
            <w:tcW w:w="567" w:type="dxa"/>
          </w:tcPr>
          <w:p w14:paraId="488F4EDD" w14:textId="77777777" w:rsidR="00336E4B" w:rsidRPr="006777BA" w:rsidRDefault="00062345"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jc w:val="right"/>
              <w:rPr>
                <w:b/>
                <w:bCs/>
                <w:i/>
                <w:color w:val="auto"/>
                <w:lang w:val="it-IT"/>
              </w:rPr>
            </w:pPr>
            <w:r w:rsidRPr="006777BA">
              <w:rPr>
                <w:rFonts w:cs="Times New Roman"/>
                <w:bCs/>
                <w:color w:val="auto"/>
                <w:lang w:val="it-IT"/>
              </w:rPr>
              <w:t>19</w:t>
            </w:r>
          </w:p>
        </w:tc>
      </w:tr>
      <w:tr w:rsidR="00336E4B" w:rsidRPr="006777BA" w14:paraId="2DB21C35" w14:textId="77777777" w:rsidTr="00ED45BC">
        <w:tc>
          <w:tcPr>
            <w:tcW w:w="8500" w:type="dxa"/>
          </w:tcPr>
          <w:p w14:paraId="4701F887" w14:textId="77777777" w:rsidR="00336E4B" w:rsidRPr="000F4720" w:rsidRDefault="00336E4B" w:rsidP="00336E4B">
            <w:pPr>
              <w:jc w:val="both"/>
              <w:rPr>
                <w:rFonts w:ascii="Verdana" w:hAnsi="Verdana"/>
                <w:b/>
                <w:color w:val="C00000"/>
                <w:sz w:val="24"/>
                <w:szCs w:val="24"/>
              </w:rPr>
            </w:pPr>
          </w:p>
        </w:tc>
        <w:tc>
          <w:tcPr>
            <w:tcW w:w="709" w:type="dxa"/>
          </w:tcPr>
          <w:p w14:paraId="31A8235E" w14:textId="77777777" w:rsidR="00336E4B" w:rsidRPr="000F4720" w:rsidRDefault="00336E4B" w:rsidP="00336E4B">
            <w:pPr>
              <w:jc w:val="right"/>
              <w:rPr>
                <w:rFonts w:ascii="Verdana" w:hAnsi="Verdana"/>
                <w:b/>
                <w:color w:val="C00000"/>
                <w:sz w:val="24"/>
                <w:szCs w:val="24"/>
              </w:rPr>
            </w:pPr>
          </w:p>
        </w:tc>
        <w:tc>
          <w:tcPr>
            <w:tcW w:w="567" w:type="dxa"/>
          </w:tcPr>
          <w:p w14:paraId="1A619C33" w14:textId="77777777" w:rsidR="00336E4B" w:rsidRPr="006777BA" w:rsidRDefault="00336E4B" w:rsidP="00336E4B">
            <w:pPr>
              <w:jc w:val="both"/>
              <w:rPr>
                <w:rFonts w:ascii="Verdana" w:hAnsi="Verdana"/>
                <w:b/>
                <w:color w:val="C00000"/>
                <w:sz w:val="24"/>
                <w:szCs w:val="24"/>
              </w:rPr>
            </w:pPr>
          </w:p>
        </w:tc>
      </w:tr>
      <w:tr w:rsidR="00336E4B" w:rsidRPr="006777BA" w14:paraId="38CED0B6" w14:textId="77777777" w:rsidTr="00ED45BC">
        <w:tc>
          <w:tcPr>
            <w:tcW w:w="8500" w:type="dxa"/>
          </w:tcPr>
          <w:p w14:paraId="24F0E244" w14:textId="77777777" w:rsidR="00336E4B" w:rsidRPr="000F4720" w:rsidRDefault="00336E4B" w:rsidP="00336E4B">
            <w:pPr>
              <w:jc w:val="both"/>
              <w:rPr>
                <w:rFonts w:ascii="Verdana" w:hAnsi="Verdana"/>
                <w:b/>
                <w:color w:val="C00000"/>
                <w:sz w:val="24"/>
                <w:szCs w:val="24"/>
              </w:rPr>
            </w:pPr>
            <w:r w:rsidRPr="000F4720">
              <w:rPr>
                <w:rFonts w:ascii="Verdana" w:hAnsi="Verdana"/>
                <w:b/>
                <w:color w:val="C00000"/>
                <w:sz w:val="24"/>
                <w:szCs w:val="24"/>
              </w:rPr>
              <w:t>Quarta parte</w:t>
            </w:r>
          </w:p>
          <w:p w14:paraId="48250958" w14:textId="77777777" w:rsidR="00336E4B" w:rsidRPr="000F4720" w:rsidRDefault="00336E4B" w:rsidP="00336E4B">
            <w:pPr>
              <w:jc w:val="both"/>
              <w:rPr>
                <w:rFonts w:ascii="Verdana" w:hAnsi="Verdana"/>
                <w:b/>
                <w:color w:val="C00000"/>
                <w:sz w:val="24"/>
                <w:szCs w:val="24"/>
              </w:rPr>
            </w:pPr>
            <w:r w:rsidRPr="000F4720">
              <w:rPr>
                <w:rFonts w:ascii="Verdana" w:hAnsi="Verdana"/>
                <w:b/>
                <w:color w:val="C00000"/>
                <w:sz w:val="24"/>
                <w:szCs w:val="24"/>
              </w:rPr>
              <w:t>L’intervento di sistema e le misure sostenute dal Recovery Plan, Fondo Complementare: il “Cantiere Centro Italia”</w:t>
            </w:r>
          </w:p>
        </w:tc>
        <w:tc>
          <w:tcPr>
            <w:tcW w:w="709" w:type="dxa"/>
          </w:tcPr>
          <w:p w14:paraId="4FE4491D" w14:textId="77777777" w:rsidR="00336E4B" w:rsidRPr="000F4720" w:rsidRDefault="00336E4B" w:rsidP="00336E4B">
            <w:pPr>
              <w:jc w:val="right"/>
              <w:rPr>
                <w:rFonts w:ascii="Times New Roman" w:eastAsia="Arial Unicode MS" w:hAnsi="Times New Roman" w:cs="Times New Roman"/>
                <w:bCs/>
                <w:kern w:val="2"/>
                <w:sz w:val="24"/>
                <w:szCs w:val="24"/>
                <w:u w:color="00000A"/>
                <w:bdr w:val="nil"/>
              </w:rPr>
            </w:pPr>
            <w:r w:rsidRPr="000F4720">
              <w:rPr>
                <w:rFonts w:ascii="Times New Roman" w:hAnsi="Times New Roman" w:cs="Times New Roman"/>
                <w:bCs/>
                <w:sz w:val="24"/>
                <w:szCs w:val="24"/>
              </w:rPr>
              <w:t>pag.</w:t>
            </w:r>
          </w:p>
        </w:tc>
        <w:tc>
          <w:tcPr>
            <w:tcW w:w="567" w:type="dxa"/>
          </w:tcPr>
          <w:p w14:paraId="03D5B6B4" w14:textId="77777777" w:rsidR="00336E4B" w:rsidRPr="006777BA" w:rsidRDefault="00062345" w:rsidP="00336E4B">
            <w:pPr>
              <w:jc w:val="right"/>
              <w:rPr>
                <w:rFonts w:ascii="Verdana" w:hAnsi="Verdana"/>
                <w:b/>
                <w:sz w:val="24"/>
                <w:szCs w:val="24"/>
              </w:rPr>
            </w:pPr>
            <w:r w:rsidRPr="006777BA">
              <w:rPr>
                <w:rFonts w:ascii="Times New Roman" w:eastAsia="Arial Unicode MS" w:hAnsi="Times New Roman" w:cs="Times New Roman"/>
                <w:bCs/>
                <w:kern w:val="2"/>
                <w:sz w:val="24"/>
                <w:szCs w:val="24"/>
                <w:u w:color="00000A"/>
                <w:bdr w:val="nil"/>
              </w:rPr>
              <w:t>20</w:t>
            </w:r>
          </w:p>
        </w:tc>
      </w:tr>
      <w:tr w:rsidR="00336E4B" w:rsidRPr="006777BA" w14:paraId="548BBE97" w14:textId="77777777" w:rsidTr="00ED45BC">
        <w:tc>
          <w:tcPr>
            <w:tcW w:w="8500" w:type="dxa"/>
          </w:tcPr>
          <w:p w14:paraId="7129AE3B" w14:textId="77777777" w:rsidR="00336E4B" w:rsidRPr="000F4720" w:rsidRDefault="00336E4B"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ind w:left="310"/>
              <w:jc w:val="both"/>
              <w:rPr>
                <w:b/>
                <w:bCs/>
                <w:i/>
                <w:color w:val="4472C4" w:themeColor="accent1"/>
                <w:lang w:val="it-IT"/>
              </w:rPr>
            </w:pPr>
            <w:r w:rsidRPr="000F4720">
              <w:rPr>
                <w:b/>
                <w:bCs/>
                <w:i/>
                <w:color w:val="4472C4" w:themeColor="accent1"/>
                <w:lang w:val="it-IT"/>
              </w:rPr>
              <w:t>4.1 Le linee di azione e gli strumenti del Recovery Fund e del Fondo complementare</w:t>
            </w:r>
          </w:p>
        </w:tc>
        <w:tc>
          <w:tcPr>
            <w:tcW w:w="709" w:type="dxa"/>
          </w:tcPr>
          <w:p w14:paraId="670DFEA6" w14:textId="77777777" w:rsidR="00336E4B" w:rsidRPr="000F4720" w:rsidRDefault="00336E4B"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bCs/>
                <w:color w:val="auto"/>
                <w:lang w:val="it-IT"/>
              </w:rPr>
            </w:pPr>
            <w:proofErr w:type="spellStart"/>
            <w:r w:rsidRPr="000F4720">
              <w:rPr>
                <w:rFonts w:cs="Times New Roman"/>
                <w:bCs/>
                <w:color w:val="auto"/>
              </w:rPr>
              <w:t>pag</w:t>
            </w:r>
            <w:proofErr w:type="spellEnd"/>
            <w:r w:rsidRPr="000F4720">
              <w:rPr>
                <w:rFonts w:cs="Times New Roman"/>
                <w:bCs/>
                <w:color w:val="auto"/>
              </w:rPr>
              <w:t>.</w:t>
            </w:r>
          </w:p>
        </w:tc>
        <w:tc>
          <w:tcPr>
            <w:tcW w:w="567" w:type="dxa"/>
          </w:tcPr>
          <w:p w14:paraId="1EEF11D4" w14:textId="77777777" w:rsidR="00336E4B" w:rsidRPr="006777BA" w:rsidRDefault="00062345"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bCs/>
                <w:color w:val="auto"/>
                <w:lang w:val="it-IT"/>
              </w:rPr>
            </w:pPr>
            <w:r w:rsidRPr="006777BA">
              <w:rPr>
                <w:rFonts w:cs="Times New Roman"/>
                <w:bCs/>
                <w:color w:val="auto"/>
                <w:lang w:val="it-IT"/>
              </w:rPr>
              <w:t>21</w:t>
            </w:r>
          </w:p>
        </w:tc>
      </w:tr>
      <w:tr w:rsidR="00336E4B" w:rsidRPr="006777BA" w14:paraId="4125F12E" w14:textId="77777777" w:rsidTr="00ED45BC">
        <w:tc>
          <w:tcPr>
            <w:tcW w:w="8500" w:type="dxa"/>
          </w:tcPr>
          <w:p w14:paraId="101B9920" w14:textId="77777777" w:rsidR="00336E4B" w:rsidRPr="000F4720" w:rsidRDefault="00336E4B"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ind w:left="310"/>
              <w:jc w:val="both"/>
              <w:rPr>
                <w:b/>
                <w:bCs/>
                <w:i/>
                <w:color w:val="4472C4" w:themeColor="accent1"/>
                <w:lang w:val="it-IT"/>
              </w:rPr>
            </w:pPr>
            <w:r w:rsidRPr="000F4720">
              <w:rPr>
                <w:b/>
                <w:bCs/>
                <w:i/>
                <w:color w:val="4472C4" w:themeColor="accent1"/>
                <w:lang w:val="it-IT"/>
              </w:rPr>
              <w:t xml:space="preserve">4.2 Le misure del Fondo Complementare </w:t>
            </w:r>
            <w:r>
              <w:rPr>
                <w:b/>
                <w:bCs/>
                <w:i/>
                <w:color w:val="4472C4" w:themeColor="accent1"/>
                <w:lang w:val="it-IT"/>
              </w:rPr>
              <w:t>a</w:t>
            </w:r>
            <w:r w:rsidRPr="000F4720">
              <w:rPr>
                <w:b/>
                <w:bCs/>
                <w:i/>
                <w:color w:val="4472C4" w:themeColor="accent1"/>
                <w:lang w:val="it-IT"/>
              </w:rPr>
              <w:t xml:space="preserve">ree terremoti 2009 e 2016 </w:t>
            </w:r>
          </w:p>
        </w:tc>
        <w:tc>
          <w:tcPr>
            <w:tcW w:w="709" w:type="dxa"/>
          </w:tcPr>
          <w:p w14:paraId="0DCE142E" w14:textId="77777777" w:rsidR="00336E4B" w:rsidRPr="000F4720" w:rsidRDefault="00336E4B" w:rsidP="00336E4B">
            <w:pPr>
              <w:jc w:val="right"/>
              <w:rPr>
                <w:rFonts w:ascii="Times New Roman" w:eastAsia="Arial Unicode MS" w:hAnsi="Times New Roman" w:cs="Times New Roman"/>
                <w:iCs/>
                <w:kern w:val="2"/>
                <w:sz w:val="24"/>
                <w:szCs w:val="24"/>
                <w:u w:color="00000A"/>
                <w:bdr w:val="nil"/>
              </w:rPr>
            </w:pPr>
            <w:r w:rsidRPr="000F4720">
              <w:rPr>
                <w:rFonts w:ascii="Times New Roman" w:hAnsi="Times New Roman" w:cs="Times New Roman"/>
                <w:bCs/>
                <w:sz w:val="24"/>
                <w:szCs w:val="24"/>
              </w:rPr>
              <w:t>pag.</w:t>
            </w:r>
          </w:p>
        </w:tc>
        <w:tc>
          <w:tcPr>
            <w:tcW w:w="567" w:type="dxa"/>
          </w:tcPr>
          <w:p w14:paraId="35E8DAFD" w14:textId="77777777" w:rsidR="00336E4B" w:rsidRPr="006777BA" w:rsidRDefault="00062345" w:rsidP="00336E4B">
            <w:pPr>
              <w:jc w:val="right"/>
              <w:rPr>
                <w:rFonts w:ascii="Times New Roman" w:eastAsia="Arial Unicode MS" w:hAnsi="Times New Roman" w:cs="Times New Roman"/>
                <w:b/>
                <w:bCs/>
                <w:i/>
                <w:kern w:val="2"/>
                <w:sz w:val="24"/>
                <w:szCs w:val="24"/>
                <w:u w:color="00000A"/>
                <w:bdr w:val="nil"/>
              </w:rPr>
            </w:pPr>
            <w:r w:rsidRPr="006777BA">
              <w:rPr>
                <w:rFonts w:ascii="Times New Roman" w:eastAsia="Arial Unicode MS" w:hAnsi="Times New Roman" w:cs="Times New Roman"/>
                <w:iCs/>
                <w:kern w:val="2"/>
                <w:sz w:val="24"/>
                <w:szCs w:val="24"/>
                <w:u w:color="00000A"/>
                <w:bdr w:val="nil"/>
              </w:rPr>
              <w:t>22</w:t>
            </w:r>
          </w:p>
        </w:tc>
      </w:tr>
      <w:tr w:rsidR="005B3C84" w:rsidRPr="006777BA" w14:paraId="19DEDEF1" w14:textId="77777777" w:rsidTr="00ED45BC">
        <w:tc>
          <w:tcPr>
            <w:tcW w:w="8500" w:type="dxa"/>
          </w:tcPr>
          <w:p w14:paraId="67A2404F" w14:textId="77777777" w:rsidR="005B3C84" w:rsidRPr="000F4720" w:rsidRDefault="005B3C84" w:rsidP="00336E4B">
            <w:pPr>
              <w:pStyle w:val="CorpoA"/>
              <w:pBdr>
                <w:top w:val="none" w:sz="0" w:space="0" w:color="auto"/>
                <w:left w:val="none" w:sz="0" w:space="0" w:color="auto"/>
                <w:bottom w:val="none" w:sz="0" w:space="0" w:color="auto"/>
                <w:right w:val="none" w:sz="0" w:space="0" w:color="auto"/>
                <w:between w:val="none" w:sz="0" w:space="0" w:color="auto"/>
                <w:bar w:val="none" w:sz="0" w:color="auto"/>
              </w:pBdr>
              <w:ind w:left="310"/>
              <w:jc w:val="both"/>
              <w:rPr>
                <w:b/>
                <w:bCs/>
                <w:i/>
                <w:color w:val="4472C4" w:themeColor="accent1"/>
                <w:lang w:val="it-IT"/>
              </w:rPr>
            </w:pPr>
            <w:r w:rsidRPr="005B3C84">
              <w:rPr>
                <w:b/>
                <w:bCs/>
                <w:i/>
                <w:color w:val="4472C4" w:themeColor="accent1"/>
                <w:lang w:val="it-IT"/>
              </w:rPr>
              <w:t>4.3 Infrastrutture e mobilità</w:t>
            </w:r>
          </w:p>
        </w:tc>
        <w:tc>
          <w:tcPr>
            <w:tcW w:w="709" w:type="dxa"/>
          </w:tcPr>
          <w:p w14:paraId="568A054B" w14:textId="77777777" w:rsidR="005B3C84" w:rsidRPr="000F4720" w:rsidRDefault="003E25B3" w:rsidP="00336E4B">
            <w:pPr>
              <w:jc w:val="right"/>
              <w:rPr>
                <w:rFonts w:ascii="Times New Roman" w:hAnsi="Times New Roman" w:cs="Times New Roman"/>
                <w:bCs/>
                <w:sz w:val="24"/>
                <w:szCs w:val="24"/>
              </w:rPr>
            </w:pPr>
            <w:r w:rsidRPr="000F4720">
              <w:rPr>
                <w:rFonts w:ascii="Times New Roman" w:hAnsi="Times New Roman" w:cs="Times New Roman"/>
                <w:bCs/>
                <w:sz w:val="24"/>
                <w:szCs w:val="24"/>
              </w:rPr>
              <w:t>pag.</w:t>
            </w:r>
          </w:p>
        </w:tc>
        <w:tc>
          <w:tcPr>
            <w:tcW w:w="567" w:type="dxa"/>
          </w:tcPr>
          <w:p w14:paraId="07F9EBFC" w14:textId="77777777" w:rsidR="005B3C84" w:rsidRPr="006777BA" w:rsidRDefault="00062345" w:rsidP="00336E4B">
            <w:pPr>
              <w:jc w:val="right"/>
              <w:rPr>
                <w:rFonts w:ascii="Times New Roman" w:eastAsia="Arial Unicode MS" w:hAnsi="Times New Roman" w:cs="Times New Roman"/>
                <w:iCs/>
                <w:kern w:val="2"/>
                <w:sz w:val="24"/>
                <w:szCs w:val="24"/>
                <w:u w:color="00000A"/>
                <w:bdr w:val="nil"/>
              </w:rPr>
            </w:pPr>
            <w:r w:rsidRPr="006777BA">
              <w:rPr>
                <w:rFonts w:ascii="Times New Roman" w:eastAsia="Arial Unicode MS" w:hAnsi="Times New Roman" w:cs="Times New Roman"/>
                <w:iCs/>
                <w:kern w:val="2"/>
                <w:sz w:val="24"/>
                <w:szCs w:val="24"/>
                <w:u w:color="00000A"/>
                <w:bdr w:val="nil"/>
              </w:rPr>
              <w:t>23</w:t>
            </w:r>
          </w:p>
        </w:tc>
      </w:tr>
    </w:tbl>
    <w:p w14:paraId="161B8677" w14:textId="77777777" w:rsidR="00875E93" w:rsidRDefault="00875E93" w:rsidP="003D0559">
      <w:pPr>
        <w:jc w:val="both"/>
        <w:rPr>
          <w:rFonts w:ascii="Verdana" w:hAnsi="Verdana"/>
          <w:b/>
          <w:color w:val="C00000"/>
          <w:sz w:val="24"/>
          <w:szCs w:val="24"/>
        </w:rPr>
      </w:pPr>
    </w:p>
    <w:p w14:paraId="39023E93" w14:textId="77777777" w:rsidR="00875E93" w:rsidRDefault="00875E93" w:rsidP="003D0559">
      <w:pPr>
        <w:jc w:val="both"/>
        <w:rPr>
          <w:rFonts w:ascii="Verdana" w:hAnsi="Verdana"/>
          <w:b/>
          <w:color w:val="C00000"/>
          <w:sz w:val="24"/>
          <w:szCs w:val="24"/>
        </w:rPr>
      </w:pPr>
    </w:p>
    <w:p w14:paraId="262761D9" w14:textId="77777777" w:rsidR="00875E93" w:rsidRDefault="00875E93" w:rsidP="003D0559">
      <w:pPr>
        <w:jc w:val="both"/>
        <w:rPr>
          <w:rFonts w:ascii="Verdana" w:hAnsi="Verdana"/>
          <w:b/>
          <w:color w:val="C00000"/>
          <w:sz w:val="24"/>
          <w:szCs w:val="24"/>
        </w:rPr>
      </w:pPr>
    </w:p>
    <w:p w14:paraId="4FE19082" w14:textId="77777777" w:rsidR="00FD501A" w:rsidRDefault="00FD501A" w:rsidP="003D0559">
      <w:pPr>
        <w:jc w:val="both"/>
        <w:rPr>
          <w:rFonts w:ascii="Verdana" w:hAnsi="Verdana"/>
          <w:b/>
          <w:color w:val="C00000"/>
          <w:sz w:val="24"/>
          <w:szCs w:val="24"/>
        </w:rPr>
      </w:pPr>
      <w:r>
        <w:rPr>
          <w:rFonts w:ascii="Verdana" w:hAnsi="Verdana"/>
          <w:b/>
          <w:color w:val="C00000"/>
          <w:sz w:val="24"/>
          <w:szCs w:val="24"/>
        </w:rPr>
        <w:br w:type="page"/>
      </w:r>
    </w:p>
    <w:p w14:paraId="1B719A6E" w14:textId="77777777" w:rsidR="00875E93" w:rsidRDefault="00875E93" w:rsidP="003D0559">
      <w:pPr>
        <w:jc w:val="both"/>
        <w:rPr>
          <w:rFonts w:ascii="Verdana" w:hAnsi="Verdana"/>
          <w:b/>
          <w:color w:val="C00000"/>
          <w:sz w:val="24"/>
          <w:szCs w:val="24"/>
        </w:rPr>
      </w:pPr>
    </w:p>
    <w:p w14:paraId="703E2136" w14:textId="77777777" w:rsidR="005F4140" w:rsidRPr="007537D5" w:rsidRDefault="005F4140" w:rsidP="003D0559">
      <w:pPr>
        <w:jc w:val="both"/>
        <w:rPr>
          <w:rFonts w:ascii="Verdana" w:hAnsi="Verdana"/>
          <w:b/>
          <w:color w:val="C00000"/>
          <w:sz w:val="24"/>
          <w:szCs w:val="24"/>
        </w:rPr>
      </w:pPr>
      <w:r w:rsidRPr="007537D5">
        <w:rPr>
          <w:rFonts w:ascii="Verdana" w:hAnsi="Verdana"/>
          <w:b/>
          <w:color w:val="C00000"/>
          <w:sz w:val="24"/>
          <w:szCs w:val="24"/>
        </w:rPr>
        <w:t>Allegati</w:t>
      </w:r>
    </w:p>
    <w:p w14:paraId="1A8CF7C0" w14:textId="77777777" w:rsidR="005F4140" w:rsidRPr="007537D5" w:rsidRDefault="00660D22" w:rsidP="00660D22">
      <w:pPr>
        <w:spacing w:after="0" w:line="240" w:lineRule="auto"/>
        <w:jc w:val="both"/>
        <w:rPr>
          <w:rFonts w:ascii="Verdana" w:hAnsi="Verdana"/>
          <w:b/>
          <w:color w:val="C00000"/>
        </w:rPr>
      </w:pPr>
      <w:r w:rsidRPr="007537D5">
        <w:rPr>
          <w:rFonts w:ascii="Verdana" w:hAnsi="Verdana"/>
          <w:b/>
          <w:color w:val="C00000"/>
          <w:sz w:val="24"/>
          <w:szCs w:val="24"/>
        </w:rPr>
        <w:t>Macro</w:t>
      </w:r>
      <w:r w:rsidR="007D506B" w:rsidRPr="007537D5">
        <w:rPr>
          <w:rFonts w:ascii="Verdana" w:hAnsi="Verdana"/>
          <w:b/>
          <w:color w:val="C00000"/>
        </w:rPr>
        <w:t xml:space="preserve"> – </w:t>
      </w:r>
      <w:r w:rsidRPr="007537D5">
        <w:rPr>
          <w:rFonts w:ascii="Verdana" w:hAnsi="Verdana"/>
          <w:b/>
          <w:color w:val="C00000"/>
          <w:sz w:val="24"/>
          <w:szCs w:val="24"/>
        </w:rPr>
        <w:t xml:space="preserve">misura A: </w:t>
      </w:r>
      <w:r w:rsidR="003F3CA6">
        <w:rPr>
          <w:rFonts w:ascii="Verdana" w:hAnsi="Verdana"/>
          <w:b/>
          <w:color w:val="C00000"/>
          <w:sz w:val="24"/>
          <w:szCs w:val="24"/>
        </w:rPr>
        <w:t>C</w:t>
      </w:r>
      <w:r w:rsidRPr="007537D5">
        <w:rPr>
          <w:rFonts w:ascii="Verdana" w:hAnsi="Verdana"/>
          <w:b/>
          <w:color w:val="C00000"/>
          <w:sz w:val="24"/>
          <w:szCs w:val="24"/>
        </w:rPr>
        <w:t>ittà e paesi sicuri, sostenibili e</w:t>
      </w:r>
      <w:r w:rsidR="005F4140" w:rsidRPr="007537D5">
        <w:rPr>
          <w:rFonts w:cs="Times New Roman"/>
          <w:b/>
          <w:bCs/>
          <w:i/>
        </w:rPr>
        <w:t xml:space="preserve"> </w:t>
      </w:r>
      <w:r w:rsidRPr="007537D5">
        <w:rPr>
          <w:rFonts w:ascii="Verdana" w:hAnsi="Verdana"/>
          <w:b/>
          <w:color w:val="C00000"/>
          <w:sz w:val="24"/>
          <w:szCs w:val="24"/>
        </w:rPr>
        <w:t>connessi</w:t>
      </w:r>
    </w:p>
    <w:p w14:paraId="2D094037" w14:textId="77777777" w:rsidR="005F4140" w:rsidRPr="007537D5" w:rsidRDefault="005F4140" w:rsidP="005F4140">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080"/>
        <w:jc w:val="both"/>
        <w:rPr>
          <w:rFonts w:cs="Times New Roman"/>
          <w:b/>
          <w:bCs/>
          <w:i/>
          <w:color w:val="auto"/>
          <w:sz w:val="13"/>
          <w:szCs w:val="13"/>
          <w:lang w:val="it-IT"/>
        </w:rPr>
      </w:pPr>
    </w:p>
    <w:p w14:paraId="56F1520D" w14:textId="77777777" w:rsidR="005F4140" w:rsidRPr="007537D5" w:rsidRDefault="005F4140" w:rsidP="007A6A4F">
      <w:pPr>
        <w:pStyle w:val="Corpo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993" w:hanging="284"/>
        <w:jc w:val="both"/>
        <w:rPr>
          <w:rFonts w:cs="Times New Roman"/>
          <w:b/>
          <w:bCs/>
          <w:i/>
          <w:color w:val="4472C4" w:themeColor="accent1"/>
          <w:lang w:val="it-IT"/>
        </w:rPr>
      </w:pPr>
      <w:r w:rsidRPr="007537D5">
        <w:rPr>
          <w:rFonts w:cs="Times New Roman"/>
          <w:b/>
          <w:bCs/>
          <w:i/>
          <w:color w:val="4472C4" w:themeColor="accent1"/>
          <w:lang w:val="it-IT"/>
        </w:rPr>
        <w:t>Sub-misura A1 – Innovazione digitale</w:t>
      </w:r>
    </w:p>
    <w:p w14:paraId="02E58EEC" w14:textId="77777777" w:rsidR="005F4140" w:rsidRPr="007537D5" w:rsidRDefault="005F4140" w:rsidP="007A6A4F">
      <w:pPr>
        <w:pStyle w:val="Corpo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993" w:hanging="284"/>
        <w:jc w:val="both"/>
        <w:rPr>
          <w:rFonts w:cs="Times New Roman"/>
          <w:b/>
          <w:bCs/>
          <w:i/>
          <w:color w:val="4472C4" w:themeColor="accent1"/>
          <w:lang w:val="it-IT"/>
        </w:rPr>
      </w:pPr>
      <w:r w:rsidRPr="007537D5">
        <w:rPr>
          <w:rFonts w:cs="Times New Roman"/>
          <w:b/>
          <w:bCs/>
          <w:i/>
          <w:color w:val="4472C4" w:themeColor="accent1"/>
          <w:lang w:val="it-IT"/>
        </w:rPr>
        <w:t xml:space="preserve">Sub-misura A2 – </w:t>
      </w:r>
      <w:r w:rsidR="0091496C" w:rsidRPr="007537D5">
        <w:rPr>
          <w:rFonts w:cs="Times New Roman"/>
          <w:b/>
          <w:bCs/>
          <w:i/>
          <w:color w:val="4472C4" w:themeColor="accent1"/>
          <w:lang w:val="it-IT"/>
        </w:rPr>
        <w:t>Comunità energetiche</w:t>
      </w:r>
      <w:r w:rsidRPr="007537D5">
        <w:rPr>
          <w:rFonts w:cs="Times New Roman"/>
          <w:b/>
          <w:bCs/>
          <w:i/>
          <w:color w:val="4472C4" w:themeColor="accent1"/>
          <w:lang w:val="it-IT"/>
        </w:rPr>
        <w:t xml:space="preserve">, recupero e rifunzionalizzazione </w:t>
      </w:r>
      <w:r w:rsidR="0091496C" w:rsidRPr="007537D5">
        <w:rPr>
          <w:rFonts w:cs="Times New Roman"/>
          <w:b/>
          <w:bCs/>
          <w:i/>
          <w:color w:val="4472C4" w:themeColor="accent1"/>
          <w:lang w:val="it-IT"/>
        </w:rPr>
        <w:t xml:space="preserve">di </w:t>
      </w:r>
      <w:r w:rsidRPr="007537D5">
        <w:rPr>
          <w:rFonts w:cs="Times New Roman"/>
          <w:b/>
          <w:bCs/>
          <w:i/>
          <w:color w:val="4472C4" w:themeColor="accent1"/>
          <w:lang w:val="it-IT"/>
        </w:rPr>
        <w:t xml:space="preserve">edifici pubblici e produzione </w:t>
      </w:r>
      <w:r w:rsidR="0091496C" w:rsidRPr="007537D5">
        <w:rPr>
          <w:rFonts w:cs="Times New Roman"/>
          <w:b/>
          <w:bCs/>
          <w:i/>
          <w:color w:val="4472C4" w:themeColor="accent1"/>
          <w:lang w:val="it-IT"/>
        </w:rPr>
        <w:t xml:space="preserve">di </w:t>
      </w:r>
      <w:r w:rsidRPr="007537D5">
        <w:rPr>
          <w:rFonts w:cs="Times New Roman"/>
          <w:b/>
          <w:bCs/>
          <w:i/>
          <w:color w:val="4472C4" w:themeColor="accent1"/>
          <w:lang w:val="it-IT"/>
        </w:rPr>
        <w:t>energia/calore da fonti rinnovabili</w:t>
      </w:r>
    </w:p>
    <w:p w14:paraId="3BA8B12D" w14:textId="77777777" w:rsidR="001F42B4" w:rsidRPr="007537D5" w:rsidRDefault="005F4140" w:rsidP="007A6A4F">
      <w:pPr>
        <w:pStyle w:val="Corpo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993" w:hanging="284"/>
        <w:jc w:val="both"/>
        <w:rPr>
          <w:rFonts w:cs="Times New Roman"/>
          <w:b/>
          <w:bCs/>
          <w:i/>
          <w:color w:val="4472C4" w:themeColor="accent1"/>
          <w:lang w:val="it-IT"/>
        </w:rPr>
      </w:pPr>
      <w:r w:rsidRPr="007537D5">
        <w:rPr>
          <w:rFonts w:cs="Times New Roman"/>
          <w:b/>
          <w:bCs/>
          <w:i/>
          <w:color w:val="4472C4" w:themeColor="accent1"/>
          <w:lang w:val="it-IT"/>
        </w:rPr>
        <w:t xml:space="preserve">Sub-misura A3 – Rigenerazione urbana </w:t>
      </w:r>
      <w:r w:rsidR="0024161E" w:rsidRPr="007537D5">
        <w:rPr>
          <w:rFonts w:cs="Times New Roman"/>
          <w:b/>
          <w:bCs/>
          <w:i/>
          <w:color w:val="4472C4" w:themeColor="accent1"/>
          <w:lang w:val="it-IT"/>
        </w:rPr>
        <w:t xml:space="preserve">e territoriale </w:t>
      </w:r>
    </w:p>
    <w:p w14:paraId="51A1E317" w14:textId="77777777" w:rsidR="001F42B4" w:rsidRPr="007537D5" w:rsidRDefault="005F4140" w:rsidP="007A6A4F">
      <w:pPr>
        <w:pStyle w:val="Corpo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993" w:hanging="284"/>
        <w:jc w:val="both"/>
        <w:rPr>
          <w:rFonts w:cs="Times New Roman"/>
          <w:b/>
          <w:bCs/>
          <w:i/>
          <w:color w:val="4472C4" w:themeColor="accent1"/>
          <w:lang w:val="it-IT"/>
        </w:rPr>
      </w:pPr>
      <w:r w:rsidRPr="007537D5">
        <w:rPr>
          <w:rFonts w:cs="Times New Roman"/>
          <w:b/>
          <w:bCs/>
          <w:i/>
          <w:color w:val="4472C4" w:themeColor="accent1"/>
          <w:lang w:val="it-IT"/>
        </w:rPr>
        <w:t>Sub-misura A4 – Infrastrutture e mobilità</w:t>
      </w:r>
    </w:p>
    <w:p w14:paraId="4A91CEBC" w14:textId="77777777" w:rsidR="005F4140" w:rsidRPr="00991BB1" w:rsidRDefault="005F4140" w:rsidP="0001694E">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080"/>
        <w:jc w:val="both"/>
        <w:rPr>
          <w:rFonts w:cs="Times New Roman"/>
          <w:b/>
          <w:bCs/>
          <w:i/>
          <w:color w:val="auto"/>
          <w:highlight w:val="cyan"/>
          <w:lang w:val="it-IT"/>
        </w:rPr>
      </w:pPr>
    </w:p>
    <w:p w14:paraId="56B4D2EB" w14:textId="77777777" w:rsidR="004928F2" w:rsidRPr="007537D5" w:rsidRDefault="00660D22" w:rsidP="00660D22">
      <w:pPr>
        <w:spacing w:after="0" w:line="240" w:lineRule="auto"/>
        <w:jc w:val="both"/>
        <w:rPr>
          <w:rFonts w:ascii="Verdana" w:hAnsi="Verdana"/>
          <w:b/>
          <w:color w:val="C00000"/>
        </w:rPr>
      </w:pPr>
      <w:r w:rsidRPr="007537D5">
        <w:rPr>
          <w:rFonts w:ascii="Verdana" w:hAnsi="Verdana"/>
          <w:b/>
          <w:color w:val="C00000"/>
          <w:sz w:val="24"/>
          <w:szCs w:val="24"/>
        </w:rPr>
        <w:t>Macro</w:t>
      </w:r>
      <w:r w:rsidR="007D506B" w:rsidRPr="007537D5">
        <w:rPr>
          <w:rFonts w:ascii="Verdana" w:hAnsi="Verdana"/>
          <w:b/>
          <w:color w:val="C00000"/>
        </w:rPr>
        <w:t xml:space="preserve"> – </w:t>
      </w:r>
      <w:r w:rsidRPr="007537D5">
        <w:rPr>
          <w:rFonts w:ascii="Verdana" w:hAnsi="Verdana"/>
          <w:b/>
          <w:color w:val="C00000"/>
          <w:sz w:val="24"/>
          <w:szCs w:val="24"/>
        </w:rPr>
        <w:t xml:space="preserve">misura B: </w:t>
      </w:r>
      <w:r w:rsidR="003F3CA6">
        <w:rPr>
          <w:rFonts w:ascii="Verdana" w:hAnsi="Verdana"/>
          <w:b/>
          <w:color w:val="C00000"/>
        </w:rPr>
        <w:t>R</w:t>
      </w:r>
      <w:r w:rsidRPr="007537D5">
        <w:rPr>
          <w:rFonts w:ascii="Verdana" w:hAnsi="Verdana"/>
          <w:b/>
          <w:color w:val="C00000"/>
        </w:rPr>
        <w:t>ilancio economico e sociale</w:t>
      </w:r>
    </w:p>
    <w:p w14:paraId="720C6C4B" w14:textId="77777777" w:rsidR="001F42B4" w:rsidRPr="007537D5" w:rsidRDefault="001F42B4" w:rsidP="001F42B4">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08"/>
        <w:jc w:val="both"/>
        <w:rPr>
          <w:rFonts w:cs="Times New Roman"/>
          <w:b/>
          <w:bCs/>
          <w:i/>
          <w:color w:val="auto"/>
          <w:sz w:val="13"/>
          <w:szCs w:val="13"/>
          <w:lang w:val="it-IT"/>
        </w:rPr>
      </w:pPr>
    </w:p>
    <w:p w14:paraId="61A35ACD" w14:textId="77777777" w:rsidR="001F42B4" w:rsidRPr="007537D5" w:rsidRDefault="001F42B4" w:rsidP="007A6A4F">
      <w:pPr>
        <w:pStyle w:val="Corpo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993" w:hanging="284"/>
        <w:jc w:val="both"/>
        <w:rPr>
          <w:rFonts w:cs="Times New Roman"/>
          <w:b/>
          <w:bCs/>
          <w:i/>
          <w:color w:val="4472C4" w:themeColor="accent1"/>
          <w:lang w:val="it-IT"/>
        </w:rPr>
      </w:pPr>
      <w:r w:rsidRPr="007537D5">
        <w:rPr>
          <w:rFonts w:cs="Times New Roman"/>
          <w:b/>
          <w:bCs/>
          <w:i/>
          <w:color w:val="4472C4" w:themeColor="accent1"/>
          <w:lang w:val="it-IT"/>
        </w:rPr>
        <w:t>Sub-misura B1 – Sostegno a</w:t>
      </w:r>
      <w:r w:rsidR="0024161E" w:rsidRPr="007537D5">
        <w:rPr>
          <w:rFonts w:cs="Times New Roman"/>
          <w:b/>
          <w:bCs/>
          <w:i/>
          <w:color w:val="4472C4" w:themeColor="accent1"/>
          <w:lang w:val="it-IT"/>
        </w:rPr>
        <w:t xml:space="preserve">gli investimenti </w:t>
      </w:r>
    </w:p>
    <w:p w14:paraId="52DF577E" w14:textId="77777777" w:rsidR="001F42B4" w:rsidRPr="007537D5" w:rsidRDefault="001F42B4" w:rsidP="007A6A4F">
      <w:pPr>
        <w:pStyle w:val="Corpo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993" w:hanging="284"/>
        <w:jc w:val="both"/>
        <w:rPr>
          <w:rFonts w:cs="Times New Roman"/>
          <w:b/>
          <w:bCs/>
          <w:i/>
          <w:color w:val="4472C4" w:themeColor="accent1"/>
          <w:lang w:val="it-IT"/>
        </w:rPr>
      </w:pPr>
      <w:r w:rsidRPr="007537D5">
        <w:rPr>
          <w:rFonts w:cs="Times New Roman"/>
          <w:b/>
          <w:bCs/>
          <w:i/>
          <w:color w:val="4472C4" w:themeColor="accent1"/>
          <w:lang w:val="it-IT"/>
        </w:rPr>
        <w:t xml:space="preserve">Sub-misura B2 – </w:t>
      </w:r>
      <w:r w:rsidR="0024161E" w:rsidRPr="007537D5">
        <w:rPr>
          <w:rFonts w:cs="Times New Roman"/>
          <w:b/>
          <w:bCs/>
          <w:i/>
          <w:color w:val="4472C4" w:themeColor="accent1"/>
          <w:lang w:val="it-IT"/>
        </w:rPr>
        <w:t>Turismo, cultura, sport e inclusione</w:t>
      </w:r>
    </w:p>
    <w:p w14:paraId="5D2C61A0" w14:textId="77777777" w:rsidR="001F42B4" w:rsidRPr="007537D5" w:rsidRDefault="001F42B4" w:rsidP="007A6A4F">
      <w:pPr>
        <w:pStyle w:val="Corpo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993" w:hanging="284"/>
        <w:jc w:val="both"/>
        <w:rPr>
          <w:rFonts w:cs="Times New Roman"/>
          <w:b/>
          <w:bCs/>
          <w:i/>
          <w:color w:val="4472C4" w:themeColor="accent1"/>
          <w:lang w:val="it-IT"/>
        </w:rPr>
      </w:pPr>
      <w:r w:rsidRPr="007537D5">
        <w:rPr>
          <w:rFonts w:cs="Times New Roman"/>
          <w:b/>
          <w:bCs/>
          <w:i/>
          <w:color w:val="4472C4" w:themeColor="accent1"/>
          <w:lang w:val="it-IT"/>
        </w:rPr>
        <w:t xml:space="preserve">Sub-misura B3 – </w:t>
      </w:r>
      <w:r w:rsidR="0024161E" w:rsidRPr="007537D5">
        <w:rPr>
          <w:rFonts w:cs="Times New Roman"/>
          <w:b/>
          <w:bCs/>
          <w:i/>
          <w:color w:val="4472C4" w:themeColor="accent1"/>
          <w:lang w:val="it-IT"/>
        </w:rPr>
        <w:t>Valorizzazione ambientale, e</w:t>
      </w:r>
      <w:r w:rsidRPr="007537D5">
        <w:rPr>
          <w:rFonts w:cs="Times New Roman"/>
          <w:b/>
          <w:bCs/>
          <w:i/>
          <w:color w:val="4472C4" w:themeColor="accent1"/>
          <w:lang w:val="it-IT"/>
        </w:rPr>
        <w:t>conomia circolare</w:t>
      </w:r>
      <w:r w:rsidR="0024161E" w:rsidRPr="007537D5">
        <w:rPr>
          <w:rFonts w:cs="Times New Roman"/>
          <w:b/>
          <w:bCs/>
          <w:i/>
          <w:color w:val="4472C4" w:themeColor="accent1"/>
          <w:lang w:val="it-IT"/>
        </w:rPr>
        <w:t xml:space="preserve"> e</w:t>
      </w:r>
      <w:r w:rsidRPr="007537D5">
        <w:rPr>
          <w:rFonts w:cs="Times New Roman"/>
          <w:b/>
          <w:bCs/>
          <w:i/>
          <w:color w:val="4472C4" w:themeColor="accent1"/>
          <w:lang w:val="it-IT"/>
        </w:rPr>
        <w:t xml:space="preserve"> ciclo delle macerie</w:t>
      </w:r>
    </w:p>
    <w:p w14:paraId="0AAA23B3" w14:textId="77777777" w:rsidR="00E84276" w:rsidRPr="0010115D" w:rsidRDefault="001F42B4" w:rsidP="007A6A4F">
      <w:pPr>
        <w:pStyle w:val="Corpo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993" w:hanging="284"/>
        <w:jc w:val="both"/>
        <w:rPr>
          <w:rFonts w:ascii="Verdana" w:hAnsi="Verdana"/>
          <w:b/>
          <w:color w:val="C00000"/>
          <w:lang w:val="it-IT"/>
        </w:rPr>
      </w:pPr>
      <w:r w:rsidRPr="0010115D">
        <w:rPr>
          <w:rFonts w:cs="Times New Roman"/>
          <w:b/>
          <w:bCs/>
          <w:i/>
          <w:color w:val="4472C4" w:themeColor="accent1"/>
          <w:lang w:val="it-IT"/>
        </w:rPr>
        <w:t>Sub-misura B4 – C</w:t>
      </w:r>
      <w:r w:rsidR="0024161E" w:rsidRPr="007537D5">
        <w:rPr>
          <w:rFonts w:cs="Times New Roman"/>
          <w:b/>
          <w:bCs/>
          <w:i/>
          <w:color w:val="4472C4" w:themeColor="accent1"/>
          <w:lang w:val="it-IT"/>
        </w:rPr>
        <w:t xml:space="preserve">entri di ricerca per l’innovazione </w:t>
      </w:r>
      <w:r w:rsidR="00E84276" w:rsidRPr="0010115D">
        <w:rPr>
          <w:rFonts w:ascii="Verdana" w:hAnsi="Verdana"/>
          <w:b/>
          <w:color w:val="C00000"/>
          <w:lang w:val="it-IT"/>
        </w:rPr>
        <w:br w:type="page"/>
      </w:r>
    </w:p>
    <w:p w14:paraId="6FEEA278" w14:textId="77777777" w:rsidR="00CC6EC2" w:rsidRDefault="00CC6EC2" w:rsidP="00FD501A">
      <w:pPr>
        <w:spacing w:after="120" w:line="240" w:lineRule="auto"/>
        <w:jc w:val="both"/>
        <w:rPr>
          <w:rFonts w:ascii="Verdana" w:hAnsi="Verdana"/>
          <w:b/>
          <w:color w:val="C00000"/>
          <w:sz w:val="24"/>
          <w:szCs w:val="24"/>
        </w:rPr>
      </w:pPr>
      <w:r>
        <w:rPr>
          <w:rFonts w:ascii="Verdana" w:hAnsi="Verdana"/>
          <w:b/>
          <w:color w:val="C00000"/>
          <w:sz w:val="24"/>
          <w:szCs w:val="24"/>
        </w:rPr>
        <w:lastRenderedPageBreak/>
        <w:t>Premessa</w:t>
      </w:r>
    </w:p>
    <w:p w14:paraId="30DBDB1E" w14:textId="77777777" w:rsidR="00A240A6" w:rsidRDefault="004758C7" w:rsidP="00455C4F">
      <w:pPr>
        <w:pStyle w:val="CorpoA"/>
        <w:spacing w:after="120"/>
        <w:ind w:firstLine="709"/>
        <w:jc w:val="both"/>
        <w:rPr>
          <w:lang w:val="it-IT"/>
        </w:rPr>
      </w:pPr>
      <w:r>
        <w:rPr>
          <w:lang w:val="it-IT"/>
        </w:rPr>
        <w:t>Le</w:t>
      </w:r>
      <w:r w:rsidRPr="00CA65D6">
        <w:rPr>
          <w:lang w:val="it-IT"/>
        </w:rPr>
        <w:t xml:space="preserve"> </w:t>
      </w:r>
      <w:r>
        <w:rPr>
          <w:lang w:val="it-IT"/>
        </w:rPr>
        <w:t xml:space="preserve">sequenze sismiche </w:t>
      </w:r>
      <w:r w:rsidR="00CC6EC2" w:rsidRPr="00CA65D6">
        <w:rPr>
          <w:lang w:val="it-IT"/>
        </w:rPr>
        <w:t>che hanno colpito l’Italia centrale</w:t>
      </w:r>
      <w:r w:rsidR="00CC6EC2">
        <w:rPr>
          <w:lang w:val="it-IT"/>
        </w:rPr>
        <w:t xml:space="preserve"> </w:t>
      </w:r>
      <w:r w:rsidR="004844E6">
        <w:rPr>
          <w:lang w:val="it-IT"/>
        </w:rPr>
        <w:t>nel 2009</w:t>
      </w:r>
      <w:r w:rsidR="00CC6EC2">
        <w:rPr>
          <w:lang w:val="it-IT"/>
        </w:rPr>
        <w:t xml:space="preserve"> e</w:t>
      </w:r>
      <w:r w:rsidR="00CB1CD1">
        <w:rPr>
          <w:lang w:val="it-IT"/>
        </w:rPr>
        <w:t xml:space="preserve"> a partire dal </w:t>
      </w:r>
      <w:r w:rsidR="00CC6EC2">
        <w:rPr>
          <w:lang w:val="it-IT"/>
        </w:rPr>
        <w:t>2016</w:t>
      </w:r>
      <w:r w:rsidR="00346CE8">
        <w:rPr>
          <w:lang w:val="it-IT"/>
        </w:rPr>
        <w:t>,</w:t>
      </w:r>
      <w:r w:rsidR="00CC6EC2">
        <w:rPr>
          <w:lang w:val="it-IT"/>
        </w:rPr>
        <w:t xml:space="preserve"> oltre alle drammatiche e distruttive conseguenze per la popolazione residente e per il patrimonio storico-artistico presente</w:t>
      </w:r>
      <w:r w:rsidR="00A240A6">
        <w:rPr>
          <w:lang w:val="it-IT"/>
        </w:rPr>
        <w:t xml:space="preserve"> sul territorio</w:t>
      </w:r>
      <w:r w:rsidR="00CC6EC2">
        <w:rPr>
          <w:lang w:val="it-IT"/>
        </w:rPr>
        <w:t xml:space="preserve">, hanno aggravato le condizioni del tessuto sociale ed economico di un’ampia area del Paese, che già proveniva da un lungo periodo di </w:t>
      </w:r>
      <w:r w:rsidR="00265E6A">
        <w:rPr>
          <w:lang w:val="it-IT"/>
        </w:rPr>
        <w:t>crisi</w:t>
      </w:r>
      <w:r w:rsidR="00CC6EC2">
        <w:rPr>
          <w:lang w:val="it-IT"/>
        </w:rPr>
        <w:t>, legato</w:t>
      </w:r>
      <w:r w:rsidR="00CB1CD1">
        <w:rPr>
          <w:lang w:val="it-IT"/>
        </w:rPr>
        <w:t xml:space="preserve"> sia</w:t>
      </w:r>
      <w:r w:rsidR="00CC6EC2">
        <w:rPr>
          <w:lang w:val="it-IT"/>
        </w:rPr>
        <w:t xml:space="preserve"> al fenomeno dello spopolamento, </w:t>
      </w:r>
      <w:r w:rsidR="00CB1CD1">
        <w:rPr>
          <w:lang w:val="it-IT"/>
        </w:rPr>
        <w:t>sia</w:t>
      </w:r>
      <w:r w:rsidR="00CC6EC2">
        <w:rPr>
          <w:lang w:val="it-IT"/>
        </w:rPr>
        <w:t xml:space="preserve"> alla crisi finanziaria del 2008. </w:t>
      </w:r>
    </w:p>
    <w:p w14:paraId="7D71DBBF" w14:textId="77777777" w:rsidR="005C650A" w:rsidRDefault="00960251" w:rsidP="00E84276">
      <w:pPr>
        <w:pStyle w:val="CorpoA"/>
        <w:spacing w:after="120"/>
        <w:ind w:firstLine="709"/>
        <w:jc w:val="both"/>
        <w:rPr>
          <w:lang w:val="it-IT"/>
        </w:rPr>
      </w:pPr>
      <w:r>
        <w:rPr>
          <w:lang w:val="it-IT"/>
        </w:rPr>
        <w:t>L’opera di ricostruzione, che ha conosciuto nell’ultimo biennio anche le difficoltà indotte dalla pandemia, sta procedendo</w:t>
      </w:r>
      <w:r w:rsidR="00265E6A">
        <w:rPr>
          <w:lang w:val="it-IT"/>
        </w:rPr>
        <w:t xml:space="preserve"> con incisività</w:t>
      </w:r>
      <w:r w:rsidR="00110618">
        <w:rPr>
          <w:lang w:val="it-IT"/>
        </w:rPr>
        <w:t xml:space="preserve"> e concretezza</w:t>
      </w:r>
      <w:r>
        <w:rPr>
          <w:lang w:val="it-IT"/>
        </w:rPr>
        <w:t xml:space="preserve">, dopo </w:t>
      </w:r>
      <w:r w:rsidR="00110618">
        <w:rPr>
          <w:lang w:val="it-IT"/>
        </w:rPr>
        <w:t xml:space="preserve">diversi </w:t>
      </w:r>
      <w:r>
        <w:rPr>
          <w:lang w:val="it-IT"/>
        </w:rPr>
        <w:t>anni di incertezza</w:t>
      </w:r>
      <w:r w:rsidR="00265E6A">
        <w:rPr>
          <w:lang w:val="it-IT"/>
        </w:rPr>
        <w:t>.</w:t>
      </w:r>
    </w:p>
    <w:p w14:paraId="14082407" w14:textId="77777777" w:rsidR="008E35E5" w:rsidRDefault="00265E6A" w:rsidP="00537A97">
      <w:pPr>
        <w:pStyle w:val="CorpoA"/>
        <w:spacing w:after="120"/>
        <w:ind w:firstLine="709"/>
        <w:jc w:val="both"/>
        <w:rPr>
          <w:lang w:val="it-IT"/>
        </w:rPr>
      </w:pPr>
      <w:r>
        <w:rPr>
          <w:lang w:val="it-IT"/>
        </w:rPr>
        <w:t>In aggiunta</w:t>
      </w:r>
      <w:r w:rsidR="00960251">
        <w:rPr>
          <w:lang w:val="it-IT"/>
        </w:rPr>
        <w:t xml:space="preserve"> </w:t>
      </w:r>
      <w:r>
        <w:rPr>
          <w:lang w:val="it-IT"/>
        </w:rPr>
        <w:t>a</w:t>
      </w:r>
      <w:r w:rsidR="00960251">
        <w:rPr>
          <w:lang w:val="it-IT"/>
        </w:rPr>
        <w:t xml:space="preserve">ll’immane opera di ricostruzione del tessuto urbano dilaniato e nell’ottica di </w:t>
      </w:r>
      <w:r>
        <w:rPr>
          <w:lang w:val="it-IT"/>
        </w:rPr>
        <w:t xml:space="preserve">integrare </w:t>
      </w:r>
      <w:r w:rsidR="00960251">
        <w:rPr>
          <w:lang w:val="it-IT"/>
        </w:rPr>
        <w:t xml:space="preserve">tali opere di ricostruzione, il Governo ha </w:t>
      </w:r>
      <w:r w:rsidR="00A240A6">
        <w:rPr>
          <w:lang w:val="it-IT"/>
        </w:rPr>
        <w:t>predisposto un apposito</w:t>
      </w:r>
      <w:r w:rsidR="00346CE8">
        <w:rPr>
          <w:lang w:val="it-IT"/>
        </w:rPr>
        <w:t xml:space="preserve"> Piano di intervento nell’ambito del Fondo complementare del</w:t>
      </w:r>
      <w:r w:rsidR="00A240A6">
        <w:rPr>
          <w:lang w:val="it-IT"/>
        </w:rPr>
        <w:t xml:space="preserve"> Piano Nazionale di Ripresa e Resilienza </w:t>
      </w:r>
      <w:r w:rsidR="006B0FD0">
        <w:rPr>
          <w:lang w:val="it-IT"/>
        </w:rPr>
        <w:t xml:space="preserve">(PNRR) </w:t>
      </w:r>
      <w:r w:rsidR="00A240A6">
        <w:rPr>
          <w:lang w:val="it-IT"/>
        </w:rPr>
        <w:t>che coinvolge le quattro Regioni interessate dai due Crateri sismici</w:t>
      </w:r>
      <w:r w:rsidR="00346CE8">
        <w:rPr>
          <w:lang w:val="it-IT"/>
        </w:rPr>
        <w:t xml:space="preserve">. </w:t>
      </w:r>
      <w:r w:rsidR="00A240A6">
        <w:rPr>
          <w:lang w:val="it-IT"/>
        </w:rPr>
        <w:t xml:space="preserve"> </w:t>
      </w:r>
    </w:p>
    <w:p w14:paraId="175ADAEA" w14:textId="77777777" w:rsidR="00CC6EC2" w:rsidRDefault="00346CE8" w:rsidP="00E84276">
      <w:pPr>
        <w:pStyle w:val="CorpoA"/>
        <w:spacing w:after="120"/>
        <w:ind w:firstLine="709"/>
        <w:jc w:val="both"/>
        <w:rPr>
          <w:lang w:val="it-IT"/>
        </w:rPr>
      </w:pPr>
      <w:r>
        <w:rPr>
          <w:lang w:val="it-IT"/>
        </w:rPr>
        <w:t xml:space="preserve">Tale Piano </w:t>
      </w:r>
      <w:r w:rsidR="00C74159">
        <w:rPr>
          <w:lang w:val="it-IT"/>
        </w:rPr>
        <w:t>è finalizzato a</w:t>
      </w:r>
      <w:r w:rsidR="00A240A6">
        <w:rPr>
          <w:lang w:val="it-IT"/>
        </w:rPr>
        <w:t xml:space="preserve"> dare uno slancio supplementare al territorio del centro Italia</w:t>
      </w:r>
      <w:r>
        <w:rPr>
          <w:lang w:val="it-IT"/>
        </w:rPr>
        <w:t>,</w:t>
      </w:r>
      <w:r w:rsidR="00A240A6">
        <w:rPr>
          <w:lang w:val="it-IT"/>
        </w:rPr>
        <w:t xml:space="preserve"> coinvolgendo il tessuto produttivo, le attività economiche e sociali e generando un ambiente fertile ed attrattivo che dia la possibilità, a quest’area del Paese, di avere nuove </w:t>
      </w:r>
      <w:r>
        <w:rPr>
          <w:lang w:val="it-IT"/>
        </w:rPr>
        <w:t>opportunità</w:t>
      </w:r>
      <w:r w:rsidR="00A240A6">
        <w:rPr>
          <w:lang w:val="it-IT"/>
        </w:rPr>
        <w:t xml:space="preserve"> che vadano oltre la mera ricostruzione dell’edificato e delle infrastrutture esistenti prima degli eventi sismici. </w:t>
      </w:r>
    </w:p>
    <w:p w14:paraId="138D0998" w14:textId="77777777" w:rsidR="000D4E52" w:rsidRDefault="000D4E52" w:rsidP="003D0559">
      <w:pPr>
        <w:jc w:val="both"/>
        <w:rPr>
          <w:rFonts w:ascii="Verdana" w:hAnsi="Verdana"/>
          <w:b/>
          <w:color w:val="C00000"/>
          <w:sz w:val="24"/>
          <w:szCs w:val="24"/>
        </w:rPr>
      </w:pPr>
    </w:p>
    <w:p w14:paraId="24B5C3BE" w14:textId="77777777" w:rsidR="003D0559" w:rsidRDefault="003D0559" w:rsidP="00FD501A">
      <w:pPr>
        <w:spacing w:after="120" w:line="240" w:lineRule="auto"/>
        <w:jc w:val="both"/>
        <w:rPr>
          <w:rFonts w:ascii="Verdana" w:hAnsi="Verdana"/>
          <w:b/>
          <w:color w:val="C00000"/>
          <w:sz w:val="24"/>
          <w:szCs w:val="24"/>
        </w:rPr>
      </w:pPr>
      <w:r>
        <w:rPr>
          <w:rFonts w:ascii="Verdana" w:hAnsi="Verdana"/>
          <w:b/>
          <w:color w:val="C00000"/>
          <w:sz w:val="24"/>
          <w:szCs w:val="24"/>
        </w:rPr>
        <w:t xml:space="preserve">Prima parte. </w:t>
      </w:r>
    </w:p>
    <w:p w14:paraId="6C231A5A" w14:textId="77777777" w:rsidR="00E84276" w:rsidRDefault="00E84276" w:rsidP="00FD501A">
      <w:pPr>
        <w:spacing w:after="120" w:line="240" w:lineRule="auto"/>
        <w:jc w:val="both"/>
        <w:rPr>
          <w:rFonts w:ascii="Verdana" w:hAnsi="Verdana"/>
          <w:b/>
          <w:color w:val="C00000"/>
          <w:sz w:val="24"/>
          <w:szCs w:val="24"/>
        </w:rPr>
      </w:pPr>
      <w:r>
        <w:rPr>
          <w:rFonts w:ascii="Verdana" w:hAnsi="Verdana"/>
          <w:b/>
          <w:color w:val="C00000"/>
          <w:sz w:val="24"/>
          <w:szCs w:val="24"/>
        </w:rPr>
        <w:t xml:space="preserve">Il </w:t>
      </w:r>
      <w:r w:rsidRPr="00E84276">
        <w:rPr>
          <w:rFonts w:ascii="Verdana" w:hAnsi="Verdana"/>
          <w:b/>
          <w:color w:val="C00000"/>
          <w:sz w:val="24"/>
          <w:szCs w:val="24"/>
        </w:rPr>
        <w:t xml:space="preserve">contesto normativo e la </w:t>
      </w:r>
      <w:r w:rsidRPr="006A2E9E">
        <w:rPr>
          <w:rFonts w:ascii="Verdana" w:hAnsi="Verdana"/>
          <w:b/>
          <w:i/>
          <w:color w:val="C00000"/>
          <w:sz w:val="24"/>
          <w:szCs w:val="24"/>
        </w:rPr>
        <w:t>Governance</w:t>
      </w:r>
      <w:r w:rsidRPr="00E84276">
        <w:rPr>
          <w:rFonts w:ascii="Verdana" w:hAnsi="Verdana"/>
          <w:b/>
          <w:color w:val="C00000"/>
          <w:sz w:val="24"/>
          <w:szCs w:val="24"/>
        </w:rPr>
        <w:t xml:space="preserve"> del Piano complementare nei territori interessati dagli eventi sismici del 2009 e 2016</w:t>
      </w:r>
    </w:p>
    <w:p w14:paraId="19B6CFBB" w14:textId="77777777" w:rsidR="00F53DBC" w:rsidRDefault="00F53DBC" w:rsidP="00E84276">
      <w:pPr>
        <w:jc w:val="both"/>
        <w:rPr>
          <w:rFonts w:ascii="Verdana" w:hAnsi="Verdana"/>
          <w:b/>
          <w:color w:val="C00000"/>
          <w:sz w:val="24"/>
          <w:szCs w:val="24"/>
        </w:rPr>
      </w:pPr>
    </w:p>
    <w:p w14:paraId="154BF51B" w14:textId="77777777" w:rsidR="00127158" w:rsidRDefault="00127158" w:rsidP="006A0BFF">
      <w:pPr>
        <w:pStyle w:val="CorpoA"/>
        <w:numPr>
          <w:ilvl w:val="1"/>
          <w:numId w:val="17"/>
        </w:numPr>
        <w:jc w:val="both"/>
        <w:rPr>
          <w:b/>
          <w:bCs/>
          <w:i/>
          <w:color w:val="0070C0"/>
          <w:lang w:val="it-IT"/>
        </w:rPr>
      </w:pPr>
      <w:r w:rsidRPr="00127158">
        <w:rPr>
          <w:b/>
          <w:bCs/>
          <w:i/>
          <w:color w:val="0070C0"/>
          <w:lang w:val="it-IT"/>
        </w:rPr>
        <w:t xml:space="preserve">Il contesto normativo </w:t>
      </w:r>
    </w:p>
    <w:p w14:paraId="1E06BAD1" w14:textId="77777777" w:rsidR="00127158" w:rsidRPr="00127158" w:rsidRDefault="00127158" w:rsidP="00127158">
      <w:pPr>
        <w:pStyle w:val="CorpoA"/>
        <w:ind w:left="1428"/>
        <w:jc w:val="both"/>
        <w:rPr>
          <w:b/>
          <w:bCs/>
          <w:i/>
          <w:color w:val="0070C0"/>
          <w:lang w:val="it-IT"/>
        </w:rPr>
      </w:pPr>
    </w:p>
    <w:p w14:paraId="0339ABA3" w14:textId="77777777" w:rsidR="007F08AD" w:rsidRPr="007F08AD" w:rsidRDefault="007F08AD" w:rsidP="007F08AD">
      <w:pPr>
        <w:spacing w:after="120" w:line="240" w:lineRule="auto"/>
        <w:ind w:firstLine="708"/>
        <w:jc w:val="both"/>
        <w:rPr>
          <w:rFonts w:ascii="Times New Roman" w:eastAsiaTheme="minorHAnsi" w:hAnsi="Times New Roman" w:cs="Times New Roman"/>
          <w:bCs/>
          <w:sz w:val="24"/>
          <w:szCs w:val="24"/>
        </w:rPr>
      </w:pPr>
      <w:r w:rsidRPr="007F08AD">
        <w:rPr>
          <w:rFonts w:ascii="Times New Roman" w:eastAsiaTheme="minorHAnsi" w:hAnsi="Times New Roman" w:cs="Times New Roman"/>
          <w:bCs/>
          <w:sz w:val="24"/>
          <w:szCs w:val="24"/>
        </w:rPr>
        <w:t xml:space="preserve">Il </w:t>
      </w:r>
      <w:r w:rsidRPr="007F08AD">
        <w:rPr>
          <w:rFonts w:ascii="Times New Roman" w:eastAsiaTheme="minorHAnsi" w:hAnsi="Times New Roman" w:cs="Times New Roman"/>
          <w:bCs/>
          <w:i/>
          <w:sz w:val="24"/>
          <w:szCs w:val="24"/>
        </w:rPr>
        <w:t>“Piano nazionale per gli investimenti complementari al Piano nazionale di ripresa e resilienza”</w:t>
      </w:r>
      <w:r w:rsidRPr="007F08AD">
        <w:rPr>
          <w:rFonts w:ascii="Times New Roman" w:eastAsiaTheme="minorHAnsi" w:hAnsi="Times New Roman" w:cs="Times New Roman"/>
          <w:bCs/>
          <w:sz w:val="24"/>
          <w:szCs w:val="24"/>
        </w:rPr>
        <w:t xml:space="preserve">, approvato ai sensi dell’art. 1 del decreto-legge 6 maggio 2021, n. 59, convertito, con modificazioni, dalla legge 1° luglio 2021, n. 101, ha destinato, al comma 2, lett. b), n. 1, del medesimo articolo, complessivi 1.780 milioni di euro per gli anni dal 2021 al 2026 per un programma di </w:t>
      </w:r>
      <w:r w:rsidRPr="007F08AD">
        <w:rPr>
          <w:rFonts w:ascii="Times New Roman" w:eastAsiaTheme="minorHAnsi" w:hAnsi="Times New Roman" w:cs="Times New Roman"/>
          <w:bCs/>
          <w:i/>
          <w:sz w:val="24"/>
          <w:szCs w:val="24"/>
        </w:rPr>
        <w:t>“interventi per le aree del terremoto del 2009 e 2016”</w:t>
      </w:r>
      <w:r w:rsidRPr="007F08AD">
        <w:rPr>
          <w:rFonts w:ascii="Times New Roman" w:eastAsiaTheme="minorHAnsi" w:hAnsi="Times New Roman" w:cs="Times New Roman"/>
          <w:bCs/>
          <w:sz w:val="24"/>
          <w:szCs w:val="24"/>
        </w:rPr>
        <w:t>.</w:t>
      </w:r>
    </w:p>
    <w:p w14:paraId="567A392C" w14:textId="77777777" w:rsidR="007F08AD" w:rsidRPr="007F08AD" w:rsidRDefault="007F08AD" w:rsidP="007F08AD">
      <w:pPr>
        <w:spacing w:after="120" w:line="240" w:lineRule="auto"/>
        <w:ind w:firstLine="708"/>
        <w:jc w:val="both"/>
        <w:rPr>
          <w:rFonts w:ascii="Times New Roman" w:eastAsiaTheme="minorHAnsi" w:hAnsi="Times New Roman" w:cs="Times New Roman"/>
          <w:bCs/>
          <w:sz w:val="24"/>
          <w:szCs w:val="24"/>
        </w:rPr>
      </w:pPr>
      <w:r w:rsidRPr="007F08AD">
        <w:rPr>
          <w:rFonts w:ascii="Times New Roman" w:eastAsiaTheme="minorHAnsi" w:hAnsi="Times New Roman" w:cs="Times New Roman"/>
          <w:bCs/>
          <w:sz w:val="24"/>
          <w:szCs w:val="24"/>
        </w:rPr>
        <w:t>Ai sensi del comma 7 del sopracitato art. 1, per ciascun programma di interventi contenuto nel Piano del Fondo complementare, con decreto del decreto del Ministro dell’economia e delle finanze, emanato in data 15 luglio 2021, sono stati individuati gli obiettivi iniziali, intermedi e finali di ciascun programma, definendo, tra l’altro, il relativo cronoprogramma finanziario e procedurale, nonché i relativi soggetti attuatori.</w:t>
      </w:r>
    </w:p>
    <w:p w14:paraId="29F0263A" w14:textId="77777777" w:rsidR="007F08AD" w:rsidRPr="007F08AD" w:rsidRDefault="007F08AD" w:rsidP="007F08AD">
      <w:pPr>
        <w:spacing w:after="120" w:line="240" w:lineRule="auto"/>
        <w:ind w:firstLine="708"/>
        <w:jc w:val="both"/>
        <w:rPr>
          <w:rFonts w:ascii="Times New Roman" w:eastAsiaTheme="minorHAnsi" w:hAnsi="Times New Roman" w:cs="Times New Roman"/>
          <w:bCs/>
          <w:sz w:val="24"/>
          <w:szCs w:val="24"/>
        </w:rPr>
      </w:pPr>
      <w:r w:rsidRPr="007F08AD">
        <w:rPr>
          <w:rFonts w:ascii="Times New Roman" w:eastAsiaTheme="minorHAnsi" w:hAnsi="Times New Roman" w:cs="Times New Roman"/>
          <w:bCs/>
          <w:sz w:val="24"/>
          <w:szCs w:val="24"/>
        </w:rPr>
        <w:t xml:space="preserve">L’art. 14-bis del decreto-legge 31 maggio 2021, n. 77, convertito, con modificazioni, dalla legge 29 luglio 2021, n. 108, ha individuato, poi, la governance degli interventi del Piano complementare nei territori interessati dagli eventi sismici del 2009 e del 2016, prevedendo che </w:t>
      </w:r>
      <w:r w:rsidRPr="007F08AD">
        <w:rPr>
          <w:rFonts w:ascii="Times New Roman" w:eastAsiaTheme="minorHAnsi" w:hAnsi="Times New Roman" w:cs="Times New Roman"/>
          <w:bCs/>
          <w:i/>
          <w:sz w:val="24"/>
          <w:szCs w:val="24"/>
        </w:rPr>
        <w:t>“Al fine di garantire l'attuazione coordinata e unitaria degli interventi per la ricostruzione e il rilancio dei territori interessati dagli eventi sismici del 2009 e del 2016, per gli investimenti previsti dall'articolo 1, comma 2, lettera b), numero 1), del decreto-legge 6 maggio 2021, n. 59, convertito, con modificazioni, dalla legge 1° luglio 2021, n. 101, la cabina di coordinamento di cui all'articolo 1, comma 5, del decreto-legge 17 ottobre 2016, n. 189, convertito, con modificazioni, dalla legge 15 dicembre 2016, n. 229, è integrata dal capo del Dipartimento "Casa Italia" istituito presso la Presidenza del Consiglio dei ministri e dal coordinatore della Struttura tecnica di missione istituita presso la Presidenza del Consiglio dei ministri, di cui al decreto del Presidente del Consiglio dei</w:t>
      </w:r>
      <w:r w:rsidRPr="007F08AD">
        <w:rPr>
          <w:rFonts w:ascii="Times New Roman" w:eastAsiaTheme="minorHAnsi" w:hAnsi="Times New Roman" w:cs="Times New Roman"/>
          <w:bCs/>
          <w:sz w:val="24"/>
          <w:szCs w:val="24"/>
        </w:rPr>
        <w:t xml:space="preserve"> </w:t>
      </w:r>
      <w:r w:rsidRPr="007F08AD">
        <w:rPr>
          <w:rFonts w:ascii="Times New Roman" w:eastAsiaTheme="minorHAnsi" w:hAnsi="Times New Roman" w:cs="Times New Roman"/>
          <w:bCs/>
          <w:i/>
          <w:sz w:val="24"/>
          <w:szCs w:val="24"/>
        </w:rPr>
        <w:lastRenderedPageBreak/>
        <w:t>ministri 3 maggio 2021, nonché dal sindaco dell'Aquila e dal coordinatore dei sindaci del cratere del sisma del 2009”.</w:t>
      </w:r>
    </w:p>
    <w:p w14:paraId="7CF7565C" w14:textId="77777777" w:rsidR="007F08AD" w:rsidRPr="007F08AD" w:rsidRDefault="007F08AD" w:rsidP="007F08AD">
      <w:pPr>
        <w:spacing w:after="120" w:line="240" w:lineRule="auto"/>
        <w:ind w:firstLine="708"/>
        <w:jc w:val="both"/>
        <w:rPr>
          <w:rFonts w:ascii="Times New Roman" w:eastAsiaTheme="minorHAnsi" w:hAnsi="Times New Roman" w:cs="Times New Roman"/>
          <w:bCs/>
          <w:i/>
          <w:sz w:val="24"/>
          <w:szCs w:val="24"/>
        </w:rPr>
      </w:pPr>
      <w:r w:rsidRPr="007F08AD">
        <w:rPr>
          <w:rFonts w:ascii="Times New Roman" w:eastAsiaTheme="minorHAnsi" w:hAnsi="Times New Roman" w:cs="Times New Roman"/>
          <w:bCs/>
          <w:sz w:val="24"/>
          <w:szCs w:val="24"/>
        </w:rPr>
        <w:t xml:space="preserve">Ai sensi del secondo comma del medesimo art. 14-bis, </w:t>
      </w:r>
      <w:r w:rsidRPr="007F08AD">
        <w:rPr>
          <w:rFonts w:ascii="Times New Roman" w:eastAsiaTheme="minorHAnsi" w:hAnsi="Times New Roman" w:cs="Times New Roman"/>
          <w:bCs/>
          <w:i/>
          <w:sz w:val="24"/>
          <w:szCs w:val="24"/>
        </w:rPr>
        <w:t>“In coerenza con il cronoprogramma finanziario e procedurale di cui all'articolo 1 del decreto-legge 6 maggio 2021, n. 59, convertito, con modificazioni, dalla legge 1° luglio 2021, n. 101, entro il 30 settembre 2021, la cabina di coordinamento individua i programmi unitari di intervento nei territori di cui al comma 1, articolati con riferimento agli eventi sismici del 2009 e del 2016, per la cui attuazione secondo i tempi previsti nel citato cronoprogramma sono adottati, d'intesa con la Struttura tecnica di missione di cui al medesimo comma 1, i provvedimenti di cui all'articolo 2, comma 2, del decreto-legge 17 ottobre 2016, n. 189, convertito, con modificazioni, dalla legge 15 dicembre 2016, n. 229, che sono comunicati al Ministero dell'economia e delle finanze - Dipartimento della Ragioneria generale dello Stato”.</w:t>
      </w:r>
    </w:p>
    <w:p w14:paraId="37B8F8B7" w14:textId="77777777" w:rsidR="00E84276" w:rsidRPr="00E84276" w:rsidRDefault="00E84276" w:rsidP="006A0BFF">
      <w:pPr>
        <w:pStyle w:val="CorpoA"/>
        <w:jc w:val="both"/>
        <w:rPr>
          <w:b/>
          <w:bCs/>
          <w:i/>
          <w:color w:val="0070C0"/>
          <w:lang w:val="it-IT"/>
        </w:rPr>
      </w:pPr>
    </w:p>
    <w:p w14:paraId="4E2A5088" w14:textId="77777777" w:rsidR="00E84276" w:rsidRPr="006A0BFF" w:rsidRDefault="006A0BFF" w:rsidP="006A0BFF">
      <w:pPr>
        <w:pStyle w:val="CorpoA"/>
        <w:ind w:firstLine="708"/>
        <w:jc w:val="both"/>
        <w:rPr>
          <w:b/>
          <w:bCs/>
          <w:i/>
          <w:color w:val="4472C4" w:themeColor="accent1"/>
          <w:lang w:val="it-IT"/>
        </w:rPr>
      </w:pPr>
      <w:r>
        <w:rPr>
          <w:b/>
          <w:bCs/>
          <w:i/>
          <w:color w:val="4472C4" w:themeColor="accent1"/>
          <w:lang w:val="it-IT"/>
        </w:rPr>
        <w:t xml:space="preserve">1.2 </w:t>
      </w:r>
      <w:r w:rsidRPr="006A0BFF">
        <w:rPr>
          <w:b/>
          <w:bCs/>
          <w:i/>
          <w:color w:val="4472C4" w:themeColor="accent1"/>
          <w:lang w:val="it-IT"/>
        </w:rPr>
        <w:t xml:space="preserve">La </w:t>
      </w:r>
      <w:r w:rsidR="006A2E9E">
        <w:rPr>
          <w:b/>
          <w:bCs/>
          <w:i/>
          <w:color w:val="4472C4" w:themeColor="accent1"/>
          <w:lang w:val="it-IT"/>
        </w:rPr>
        <w:t>G</w:t>
      </w:r>
      <w:r w:rsidRPr="006A0BFF">
        <w:rPr>
          <w:b/>
          <w:bCs/>
          <w:i/>
          <w:color w:val="4472C4" w:themeColor="accent1"/>
          <w:lang w:val="it-IT"/>
        </w:rPr>
        <w:t>overnance, le semplificazioni e i poteri commissariali</w:t>
      </w:r>
    </w:p>
    <w:p w14:paraId="48605942" w14:textId="77777777" w:rsidR="00E84276" w:rsidRDefault="00E84276" w:rsidP="002A34BE">
      <w:pPr>
        <w:pStyle w:val="CorpoA"/>
        <w:spacing w:after="120"/>
        <w:jc w:val="both"/>
        <w:rPr>
          <w:lang w:val="it-IT"/>
        </w:rPr>
      </w:pPr>
    </w:p>
    <w:p w14:paraId="334D0960" w14:textId="77777777" w:rsidR="007F08AD" w:rsidRPr="007F08AD" w:rsidRDefault="007F08AD" w:rsidP="002A34BE">
      <w:pPr>
        <w:pStyle w:val="CorpoA"/>
        <w:spacing w:after="120"/>
        <w:ind w:firstLine="708"/>
        <w:jc w:val="both"/>
        <w:rPr>
          <w:lang w:val="it-IT"/>
        </w:rPr>
      </w:pPr>
      <w:r w:rsidRPr="007F08AD">
        <w:rPr>
          <w:lang w:val="it-IT"/>
        </w:rPr>
        <w:t xml:space="preserve">Dalla lettura combinata delle disposizioni contenute nel decreto-legge n. 59 del 2021 e del relativo decreto attuativo del MEF, nonché di quelle di cui all’art. 14-bis del decreto-legge n. 77 del 2021, si delinea, quindi, una </w:t>
      </w:r>
      <w:r w:rsidRPr="00996D73">
        <w:rPr>
          <w:i/>
          <w:lang w:val="it-IT"/>
        </w:rPr>
        <w:t>governance</w:t>
      </w:r>
      <w:r w:rsidRPr="007F08AD">
        <w:rPr>
          <w:lang w:val="it-IT"/>
        </w:rPr>
        <w:t xml:space="preserve"> basata su un sistema multilivello, secondo quanto previsto dall’art. 1, quinto comma, del decreto-legge 17 ottobre 2016, n. 189, convertito, con modificazioni, dalla legge 15 dicembre 2016, n. 229 nonché dall’art. 2, secondo comma, del medesimo decreto-legge, che disciplina i poteri commissariali. </w:t>
      </w:r>
    </w:p>
    <w:p w14:paraId="2D6D7DE5" w14:textId="77777777" w:rsidR="007F08AD" w:rsidRPr="007F08AD" w:rsidRDefault="007F08AD" w:rsidP="002A34BE">
      <w:pPr>
        <w:pStyle w:val="CorpoA"/>
        <w:spacing w:after="120"/>
        <w:ind w:firstLine="708"/>
        <w:jc w:val="both"/>
        <w:rPr>
          <w:lang w:val="it-IT"/>
        </w:rPr>
      </w:pPr>
      <w:r w:rsidRPr="007F08AD">
        <w:rPr>
          <w:lang w:val="it-IT"/>
        </w:rPr>
        <w:t>Il primo atto della Cabina di coordinamento integrata è costituito dall’individuazione dei programmi unitari di intervento, da trasmettere al MEF entro il 30 settembre 2021 nel rispetto del cronoprogramma</w:t>
      </w:r>
      <w:r w:rsidR="002A34BE">
        <w:rPr>
          <w:lang w:val="it-IT"/>
        </w:rPr>
        <w:t>.</w:t>
      </w:r>
    </w:p>
    <w:p w14:paraId="5C8381BF" w14:textId="77777777" w:rsidR="007F08AD" w:rsidRPr="007F08AD" w:rsidRDefault="007F08AD" w:rsidP="002A34BE">
      <w:pPr>
        <w:pStyle w:val="CorpoA"/>
        <w:spacing w:after="120"/>
        <w:ind w:firstLine="708"/>
        <w:jc w:val="both"/>
        <w:rPr>
          <w:lang w:val="it-IT"/>
        </w:rPr>
      </w:pPr>
      <w:r w:rsidRPr="007F08AD">
        <w:rPr>
          <w:lang w:val="it-IT"/>
        </w:rPr>
        <w:t xml:space="preserve">Costituisce, poi, il secondo atto della Cabina di coordinamento integrata l’individuazione degli interventi, da trasmettere al MEF entro il 31 dicembre 2021, nel rispetto del cronoprogramma. </w:t>
      </w:r>
    </w:p>
    <w:p w14:paraId="3C156822" w14:textId="77777777" w:rsidR="007F08AD" w:rsidRPr="007F08AD" w:rsidRDefault="007F08AD" w:rsidP="002A34BE">
      <w:pPr>
        <w:pStyle w:val="CorpoA"/>
        <w:spacing w:after="120"/>
        <w:ind w:firstLine="708"/>
        <w:jc w:val="both"/>
        <w:rPr>
          <w:lang w:val="it-IT"/>
        </w:rPr>
      </w:pPr>
      <w:r w:rsidRPr="007F08AD">
        <w:rPr>
          <w:lang w:val="it-IT"/>
        </w:rPr>
        <w:t>Gli interventi previsti dal Piano complementare per i territori colpiti dal sisma 2009 e 2016 si attuano, ai sensi dell’art. 14-bis del decreto-legge n. 77 del 2021, tramite ordinanze commissariali, ai sensi del citato art. 2, secondo comma, del decreto-legge n. 189 del 2016, adottate con le intese previste per legge.</w:t>
      </w:r>
    </w:p>
    <w:p w14:paraId="1C48C1D6" w14:textId="77777777" w:rsidR="007F08AD" w:rsidRPr="00996D73" w:rsidRDefault="007F08AD" w:rsidP="002A34BE">
      <w:pPr>
        <w:pStyle w:val="CorpoA"/>
        <w:spacing w:after="120"/>
        <w:ind w:firstLine="708"/>
        <w:jc w:val="both"/>
        <w:rPr>
          <w:i/>
          <w:lang w:val="it-IT"/>
        </w:rPr>
      </w:pPr>
      <w:r w:rsidRPr="007F08AD">
        <w:rPr>
          <w:lang w:val="it-IT"/>
        </w:rPr>
        <w:t xml:space="preserve">Come noto, l’art. 2, secondo comma, prevede che </w:t>
      </w:r>
      <w:r w:rsidRPr="00996D73">
        <w:rPr>
          <w:i/>
          <w:lang w:val="it-IT"/>
        </w:rPr>
        <w:t>“(…) il Commissario straordinario provvede anche a mezzo di ordinanze, nel rispetto della Costituzione, dei principi generali dell'ordinamento giuridico e delle norme dell'ordinamento europeo”. Inoltre, per gli interventi ritenuti di “particolare urgenza e criticità”, ai sensi dell’art. 11, secondo comma, del decreto legge n. 76 del 2020, come convertito con legge n. 120 del 2020, “i poteri di ordinanza a lui attribuiti dall'articolo 2, comma 2, del decreto-legge n.  189 del 2016, sono esercitabili in deroga a ogni disposizione di legge diversa da quella penale, fatto salvo il rispetto delle disposizioni del codice delle leggi antimafia e delle misure di prevenzione, di cui al decreto legislativo 6 settembre 2011, n.  159, delle disposizioni del Codice dei beni culturali e del paesaggio, di cui al decreto legislativo 22 gennaio 2004, n. 42, nonché dei vincoli inderogabili derivanti dall'appartenenza all'Unione europea, ivi inclusi quelli derivanti dalle direttive 2014/24/UE e 2014/25/UE”.</w:t>
      </w:r>
    </w:p>
    <w:p w14:paraId="2E40EE48" w14:textId="77777777" w:rsidR="007F08AD" w:rsidRPr="007F08AD" w:rsidRDefault="007F08AD" w:rsidP="002A34BE">
      <w:pPr>
        <w:pStyle w:val="CorpoA"/>
        <w:spacing w:after="120"/>
        <w:ind w:firstLine="708"/>
        <w:jc w:val="both"/>
        <w:rPr>
          <w:lang w:val="it-IT"/>
        </w:rPr>
      </w:pPr>
      <w:r w:rsidRPr="007F08AD">
        <w:rPr>
          <w:lang w:val="it-IT"/>
        </w:rPr>
        <w:t xml:space="preserve">L’art. 14 del decreto-legge n. 77 del 2021, rubricato </w:t>
      </w:r>
      <w:r w:rsidRPr="00996D73">
        <w:rPr>
          <w:i/>
          <w:lang w:val="it-IT"/>
        </w:rPr>
        <w:t>“Estensione della disciplina del PNRR al Piano complementare”</w:t>
      </w:r>
      <w:r w:rsidRPr="007F08AD">
        <w:rPr>
          <w:lang w:val="it-IT"/>
        </w:rPr>
        <w:t xml:space="preserve">, stabilisce, in via generale, che le misure e le procedure di accelerazione e di semplificazione nonché quelle relative alla capacità amministrativa e alle procedure finanziarie previste per il PNRR si applicano agli investimenti previsti dal Piano complementare. </w:t>
      </w:r>
    </w:p>
    <w:p w14:paraId="0C021B33" w14:textId="77777777" w:rsidR="007F08AD" w:rsidRPr="007F08AD" w:rsidRDefault="007F08AD" w:rsidP="00996D73">
      <w:pPr>
        <w:pStyle w:val="CorpoA"/>
        <w:spacing w:after="120"/>
        <w:ind w:firstLine="708"/>
        <w:jc w:val="both"/>
        <w:rPr>
          <w:lang w:val="it-IT"/>
        </w:rPr>
      </w:pPr>
      <w:r w:rsidRPr="007F08AD">
        <w:rPr>
          <w:lang w:val="it-IT"/>
        </w:rPr>
        <w:t xml:space="preserve">In particolare, e solo in via esemplificativa, si applicano agli interventi del Piano complementare per i territori colpiti dal sisma 2009 e 2016, le disposizioni di semplificazione relative </w:t>
      </w:r>
      <w:r w:rsidRPr="007F08AD">
        <w:rPr>
          <w:lang w:val="it-IT"/>
        </w:rPr>
        <w:lastRenderedPageBreak/>
        <w:t>alle seguenti materie: 1. Valutazione ambientale – VIA e VAS: artt. 17- 29; 2. Fonti rinnovabili: artt. 30 - 33-bis; 3. Economia circolare e contrasto al dissesto ecologico: artt. 33 -37; 4. Transizione digitale: artt. 38- 43; 5. Procedure speciali per alcuni progetti PPNR: artt. 44-46; 6. Contratti pubblici: artt. 48- 56; 7. Semplificazioni procedimentali: artt. 12-13; 61-63.</w:t>
      </w:r>
    </w:p>
    <w:p w14:paraId="47DA1B3D" w14:textId="77777777" w:rsidR="007F08AD" w:rsidRPr="007F08AD" w:rsidRDefault="007F08AD" w:rsidP="002A34BE">
      <w:pPr>
        <w:pStyle w:val="CorpoA"/>
        <w:spacing w:after="120"/>
        <w:ind w:firstLine="708"/>
        <w:jc w:val="both"/>
        <w:rPr>
          <w:lang w:val="it-IT"/>
        </w:rPr>
      </w:pPr>
      <w:r w:rsidRPr="007F08AD">
        <w:rPr>
          <w:lang w:val="it-IT"/>
        </w:rPr>
        <w:t xml:space="preserve">Sulla base del quadro in sintesi delineato, occorre ritenere che, con riferimento alla allocazione degli investimenti e delle risorse, l’ordinanza commissariale, nei limiti e nel rispetto dei programmi unitari di intervento e degli interventi approvati dalla Cabina di coordinamento integrata, attua, sulla base delle intese per legge previste, i programmi di investimenti previsti dal Piano complementare anche attraverso la ridefinizione e la riarticolazione dei canali degli incentivi e dei finanziamenti, previsti dalle leggi vigenti (in particolare, dagli artt. 19 – 25 </w:t>
      </w:r>
      <w:proofErr w:type="spellStart"/>
      <w:r w:rsidRPr="007F08AD">
        <w:rPr>
          <w:lang w:val="it-IT"/>
        </w:rPr>
        <w:t>d.l.</w:t>
      </w:r>
      <w:proofErr w:type="spellEnd"/>
      <w:r w:rsidRPr="007F08AD">
        <w:rPr>
          <w:lang w:val="it-IT"/>
        </w:rPr>
        <w:t xml:space="preserve"> n. 189 del 2016; artt. 5 e 9-duodedicies </w:t>
      </w:r>
      <w:proofErr w:type="spellStart"/>
      <w:r w:rsidRPr="007F08AD">
        <w:rPr>
          <w:lang w:val="it-IT"/>
        </w:rPr>
        <w:t>d.l.</w:t>
      </w:r>
      <w:proofErr w:type="spellEnd"/>
      <w:r w:rsidRPr="007F08AD">
        <w:rPr>
          <w:lang w:val="it-IT"/>
        </w:rPr>
        <w:t xml:space="preserve"> n. 123 del 2019; art. 38, comma 11, </w:t>
      </w:r>
      <w:proofErr w:type="spellStart"/>
      <w:r w:rsidRPr="007F08AD">
        <w:rPr>
          <w:lang w:val="it-IT"/>
        </w:rPr>
        <w:t>d.l.</w:t>
      </w:r>
      <w:proofErr w:type="spellEnd"/>
      <w:r w:rsidRPr="007F08AD">
        <w:rPr>
          <w:lang w:val="it-IT"/>
        </w:rPr>
        <w:t xml:space="preserve"> n. 34 del 2020; art. 43 </w:t>
      </w:r>
      <w:proofErr w:type="spellStart"/>
      <w:r w:rsidRPr="007F08AD">
        <w:rPr>
          <w:lang w:val="it-IT"/>
        </w:rPr>
        <w:t>d.l.</w:t>
      </w:r>
      <w:proofErr w:type="spellEnd"/>
      <w:r w:rsidRPr="007F08AD">
        <w:rPr>
          <w:lang w:val="it-IT"/>
        </w:rPr>
        <w:t xml:space="preserve"> n. 112 del 2008 e </w:t>
      </w:r>
      <w:proofErr w:type="spellStart"/>
      <w:r w:rsidRPr="007F08AD">
        <w:rPr>
          <w:lang w:val="it-IT"/>
        </w:rPr>
        <w:t>s.m.i.</w:t>
      </w:r>
      <w:proofErr w:type="spellEnd"/>
      <w:r w:rsidRPr="007F08AD">
        <w:rPr>
          <w:lang w:val="it-IT"/>
        </w:rPr>
        <w:t xml:space="preserve"> ed attuato, in tema di Contratti istituzionali di sviluppo, con D.M. 19 marzo 2021) al fine di incentivare e promuovere lo sviluppo sostenibile per le imprese localizzate nel territorio, le aziende agricole, agroalimentari e zootecniche, il turismo, le attività culturali, gli incentivi alla residenzialità, la promozione delle start up, l’integrazione dei Contratti istituzionali di sviluppo.</w:t>
      </w:r>
    </w:p>
    <w:p w14:paraId="1553D758" w14:textId="77777777" w:rsidR="00E84276" w:rsidRDefault="007F08AD" w:rsidP="002A34BE">
      <w:pPr>
        <w:pStyle w:val="CorpoA"/>
        <w:spacing w:after="120"/>
        <w:ind w:firstLine="708"/>
        <w:jc w:val="both"/>
        <w:rPr>
          <w:lang w:val="it-IT"/>
        </w:rPr>
      </w:pPr>
      <w:r w:rsidRPr="007F08AD">
        <w:rPr>
          <w:lang w:val="it-IT"/>
        </w:rPr>
        <w:t>Le ordinanze commissariali, sulla base dei principi richiamati, nei limiti e nel rispetto dei  programmi unitari di intervento e degli interventi approvati dalla Cabina di coordinamento integrata, attuano l’allocazione dei finanziamenti previsti dal Piano complementare anche in deroga ai limiti quantitativi, merceologici e dei destinatari previsti dalle disposizioni di legge in materia, con i seguenti limiti: a) nel pieno rispetto dei vincoli stabiliti dal diritto euro-unitario, ai sensi dell’articolo 107 del TFUE, in materia di aiuti di stato; b) con il vincolo di scopo della destinazione delle risorse e dei finanziamenti in coerenza con gli obiettivi della transizione ecologica, della connessione digitale e dello sviluppo sostenibile nei territori colpiti dal sisma 2009 e 2016.</w:t>
      </w:r>
    </w:p>
    <w:p w14:paraId="4C78F8D3" w14:textId="77777777" w:rsidR="00BE37CA" w:rsidRPr="00E84276" w:rsidRDefault="00BE37CA" w:rsidP="00BE37CA">
      <w:pPr>
        <w:pStyle w:val="CorpoA"/>
        <w:jc w:val="both"/>
        <w:rPr>
          <w:lang w:val="it-IT"/>
        </w:rPr>
      </w:pPr>
    </w:p>
    <w:p w14:paraId="57EE96C9" w14:textId="77777777" w:rsidR="00991BB1" w:rsidRDefault="00991BB1" w:rsidP="00697B43">
      <w:pPr>
        <w:spacing w:after="120" w:line="240" w:lineRule="auto"/>
        <w:jc w:val="both"/>
        <w:rPr>
          <w:rFonts w:ascii="Verdana" w:hAnsi="Verdana"/>
          <w:b/>
          <w:color w:val="C00000"/>
          <w:sz w:val="24"/>
          <w:szCs w:val="24"/>
        </w:rPr>
      </w:pPr>
      <w:r>
        <w:rPr>
          <w:rFonts w:ascii="Verdana" w:hAnsi="Verdana"/>
          <w:b/>
          <w:color w:val="C00000"/>
          <w:sz w:val="24"/>
          <w:szCs w:val="24"/>
        </w:rPr>
        <w:t>Seconda parte</w:t>
      </w:r>
    </w:p>
    <w:p w14:paraId="771B7894" w14:textId="77777777" w:rsidR="003D0559" w:rsidRDefault="003D0559" w:rsidP="00697B43">
      <w:pPr>
        <w:spacing w:after="120" w:line="240" w:lineRule="auto"/>
        <w:jc w:val="both"/>
        <w:rPr>
          <w:rFonts w:ascii="Verdana" w:hAnsi="Verdana"/>
          <w:b/>
          <w:color w:val="C00000"/>
          <w:sz w:val="24"/>
          <w:szCs w:val="24"/>
        </w:rPr>
      </w:pPr>
      <w:r>
        <w:rPr>
          <w:rFonts w:ascii="Verdana" w:hAnsi="Verdana"/>
          <w:b/>
          <w:color w:val="C00000"/>
          <w:sz w:val="24"/>
          <w:szCs w:val="24"/>
        </w:rPr>
        <w:t xml:space="preserve">Il contesto, i caratteri strutturali </w:t>
      </w:r>
      <w:r w:rsidR="006B0FD0">
        <w:rPr>
          <w:rFonts w:ascii="Verdana" w:hAnsi="Verdana"/>
          <w:b/>
          <w:color w:val="C00000"/>
          <w:sz w:val="24"/>
          <w:szCs w:val="24"/>
        </w:rPr>
        <w:t>e</w:t>
      </w:r>
      <w:r>
        <w:rPr>
          <w:rFonts w:ascii="Verdana" w:hAnsi="Verdana"/>
          <w:b/>
          <w:color w:val="C00000"/>
          <w:sz w:val="24"/>
          <w:szCs w:val="24"/>
        </w:rPr>
        <w:t xml:space="preserve"> identitari del territorio</w:t>
      </w:r>
      <w:r w:rsidR="003D5438">
        <w:rPr>
          <w:rFonts w:ascii="Verdana" w:hAnsi="Verdana"/>
          <w:b/>
          <w:color w:val="C00000"/>
          <w:sz w:val="24"/>
          <w:szCs w:val="24"/>
        </w:rPr>
        <w:t xml:space="preserve"> </w:t>
      </w:r>
    </w:p>
    <w:p w14:paraId="73EDC49E" w14:textId="77777777" w:rsidR="00307256" w:rsidRDefault="00307256" w:rsidP="006F363C">
      <w:pPr>
        <w:pStyle w:val="CorpoA"/>
        <w:ind w:firstLine="708"/>
        <w:jc w:val="both"/>
        <w:rPr>
          <w:lang w:val="it-IT"/>
        </w:rPr>
      </w:pPr>
    </w:p>
    <w:p w14:paraId="039CCF2C" w14:textId="77777777" w:rsidR="00307256" w:rsidRPr="00D92D5E" w:rsidRDefault="00991BB1" w:rsidP="00307256">
      <w:pPr>
        <w:pStyle w:val="CorpoA"/>
        <w:ind w:firstLine="708"/>
        <w:jc w:val="both"/>
        <w:rPr>
          <w:b/>
          <w:bCs/>
          <w:i/>
          <w:color w:val="4472C4" w:themeColor="accent1"/>
          <w:lang w:val="it-IT"/>
        </w:rPr>
      </w:pPr>
      <w:r>
        <w:rPr>
          <w:b/>
          <w:bCs/>
          <w:i/>
          <w:color w:val="4472C4" w:themeColor="accent1"/>
          <w:lang w:val="it-IT"/>
        </w:rPr>
        <w:t>2</w:t>
      </w:r>
      <w:r w:rsidR="00307256" w:rsidRPr="00D92D5E">
        <w:rPr>
          <w:b/>
          <w:bCs/>
          <w:i/>
          <w:color w:val="4472C4" w:themeColor="accent1"/>
          <w:lang w:val="it-IT"/>
        </w:rPr>
        <w:t>.1 Il Cratere del sisma 2016</w:t>
      </w:r>
    </w:p>
    <w:p w14:paraId="31C48282" w14:textId="77777777" w:rsidR="00307256" w:rsidRDefault="00307256" w:rsidP="006F363C">
      <w:pPr>
        <w:pStyle w:val="CorpoA"/>
        <w:ind w:firstLine="708"/>
        <w:jc w:val="both"/>
        <w:rPr>
          <w:lang w:val="it-IT"/>
        </w:rPr>
      </w:pPr>
    </w:p>
    <w:p w14:paraId="5ACF7F8E" w14:textId="77777777" w:rsidR="005C650A" w:rsidRDefault="00A21A42" w:rsidP="00455C4F">
      <w:pPr>
        <w:pStyle w:val="CorpoA"/>
        <w:spacing w:after="120"/>
        <w:ind w:firstLine="708"/>
        <w:jc w:val="both"/>
        <w:rPr>
          <w:strike/>
          <w:color w:val="FF0000"/>
          <w:lang w:val="it-IT"/>
        </w:rPr>
      </w:pPr>
      <w:r w:rsidRPr="00321417">
        <w:rPr>
          <w:lang w:val="it-IT"/>
        </w:rPr>
        <w:t>L</w:t>
      </w:r>
      <w:r>
        <w:rPr>
          <w:lang w:val="it-IT"/>
        </w:rPr>
        <w:t xml:space="preserve">’area del </w:t>
      </w:r>
      <w:r w:rsidRPr="0071753D">
        <w:rPr>
          <w:b/>
          <w:bCs/>
          <w:lang w:val="it-IT"/>
        </w:rPr>
        <w:t>cratere</w:t>
      </w:r>
      <w:r w:rsidR="006552AE" w:rsidRPr="0071753D">
        <w:rPr>
          <w:b/>
          <w:bCs/>
          <w:lang w:val="it-IT"/>
        </w:rPr>
        <w:t xml:space="preserve"> del sisma 2016</w:t>
      </w:r>
      <w:r>
        <w:rPr>
          <w:lang w:val="it-IT"/>
        </w:rPr>
        <w:t xml:space="preserve"> (che si estende per quasi 8.000 km</w:t>
      </w:r>
      <w:r w:rsidRPr="00B245D7">
        <w:rPr>
          <w:vertAlign w:val="superscript"/>
          <w:lang w:val="it-IT"/>
        </w:rPr>
        <w:t>2</w:t>
      </w:r>
      <w:r w:rsidRPr="00B245D7">
        <w:rPr>
          <w:lang w:val="it-IT"/>
        </w:rPr>
        <w:t>)</w:t>
      </w:r>
      <w:r w:rsidRPr="00321417">
        <w:rPr>
          <w:lang w:val="it-IT"/>
        </w:rPr>
        <w:t xml:space="preserve"> </w:t>
      </w:r>
      <w:r>
        <w:rPr>
          <w:lang w:val="it-IT"/>
        </w:rPr>
        <w:t xml:space="preserve">è caratterizzata da un territorio prevalentemente montuoso (circa la metà dei Comuni si trova al di sopra dei 900 </w:t>
      </w:r>
      <w:proofErr w:type="spellStart"/>
      <w:r>
        <w:rPr>
          <w:lang w:val="it-IT"/>
        </w:rPr>
        <w:t>msl</w:t>
      </w:r>
      <w:r w:rsidR="00027561">
        <w:rPr>
          <w:lang w:val="it-IT"/>
        </w:rPr>
        <w:t>m</w:t>
      </w:r>
      <w:proofErr w:type="spellEnd"/>
      <w:r>
        <w:rPr>
          <w:lang w:val="it-IT"/>
        </w:rPr>
        <w:t>), ed è attraversata in senso longitudinale da vari fiumi e torrenti e da un sistema infrastrutturale limitato a pochi assi viari che dalla SS Nazionale e dall’A14 risalgono verso l’entroterra</w:t>
      </w:r>
      <w:r w:rsidR="000309AC">
        <w:rPr>
          <w:lang w:val="it-IT"/>
        </w:rPr>
        <w:t>.</w:t>
      </w:r>
      <w:r w:rsidR="00FB7176">
        <w:rPr>
          <w:strike/>
          <w:color w:val="FF0000"/>
          <w:lang w:val="it-IT"/>
        </w:rPr>
        <w:t xml:space="preserve"> </w:t>
      </w:r>
    </w:p>
    <w:p w14:paraId="655D4B9E" w14:textId="77777777" w:rsidR="008E35E5" w:rsidRDefault="00C2487A" w:rsidP="00455C4F">
      <w:pPr>
        <w:pStyle w:val="CorpoA"/>
        <w:spacing w:after="120"/>
        <w:ind w:firstLine="708"/>
        <w:jc w:val="both"/>
        <w:rPr>
          <w:lang w:val="it-IT"/>
        </w:rPr>
      </w:pPr>
      <w:r>
        <w:rPr>
          <w:lang w:val="it-IT"/>
        </w:rPr>
        <w:t>La sequenza</w:t>
      </w:r>
      <w:r w:rsidR="00A21A42">
        <w:rPr>
          <w:lang w:val="it-IT"/>
        </w:rPr>
        <w:t xml:space="preserve"> </w:t>
      </w:r>
      <w:r w:rsidR="004C0527">
        <w:rPr>
          <w:lang w:val="it-IT"/>
        </w:rPr>
        <w:t>sismic</w:t>
      </w:r>
      <w:r>
        <w:rPr>
          <w:lang w:val="it-IT"/>
        </w:rPr>
        <w:t>a</w:t>
      </w:r>
      <w:r w:rsidR="004C0527">
        <w:rPr>
          <w:lang w:val="it-IT"/>
        </w:rPr>
        <w:t xml:space="preserve"> verificatisi a partire </w:t>
      </w:r>
      <w:r w:rsidR="00A21A42">
        <w:rPr>
          <w:lang w:val="it-IT"/>
        </w:rPr>
        <w:t>d</w:t>
      </w:r>
      <w:r w:rsidR="004C0527">
        <w:rPr>
          <w:lang w:val="it-IT"/>
        </w:rPr>
        <w:t>a</w:t>
      </w:r>
      <w:r w:rsidR="00A21A42">
        <w:rPr>
          <w:lang w:val="it-IT"/>
        </w:rPr>
        <w:t xml:space="preserve">l 24 agosto 2016 ha </w:t>
      </w:r>
      <w:r>
        <w:rPr>
          <w:lang w:val="it-IT"/>
        </w:rPr>
        <w:t>evidenziato</w:t>
      </w:r>
      <w:r w:rsidR="00A21A42">
        <w:rPr>
          <w:lang w:val="it-IT"/>
        </w:rPr>
        <w:t xml:space="preserve"> le già note pericolosità geomorfologiche e idrogeologiche dell’Appennino.</w:t>
      </w:r>
      <w:r w:rsidR="00CA65D6">
        <w:rPr>
          <w:lang w:val="it-IT"/>
        </w:rPr>
        <w:t xml:space="preserve"> </w:t>
      </w:r>
    </w:p>
    <w:p w14:paraId="472ACEDB" w14:textId="77777777" w:rsidR="007356D3" w:rsidRDefault="00A21A42" w:rsidP="00455C4F">
      <w:pPr>
        <w:pStyle w:val="CorpoA"/>
        <w:spacing w:after="120"/>
        <w:ind w:firstLine="708"/>
        <w:jc w:val="both"/>
        <w:rPr>
          <w:lang w:val="it-IT"/>
        </w:rPr>
      </w:pPr>
      <w:r>
        <w:rPr>
          <w:lang w:val="it-IT"/>
        </w:rPr>
        <w:t>Gli effetti diretti</w:t>
      </w:r>
      <w:r w:rsidR="004C0527">
        <w:rPr>
          <w:lang w:val="it-IT"/>
        </w:rPr>
        <w:t>,</w:t>
      </w:r>
      <w:r>
        <w:rPr>
          <w:lang w:val="it-IT"/>
        </w:rPr>
        <w:t xml:space="preserve"> collegati alla deformazione del suolo in corrispondenza della faglia </w:t>
      </w:r>
      <w:r w:rsidR="007356D3" w:rsidRPr="009A770D">
        <w:rPr>
          <w:lang w:val="it-IT"/>
        </w:rPr>
        <w:t xml:space="preserve">e </w:t>
      </w:r>
      <w:r w:rsidR="007356D3">
        <w:rPr>
          <w:lang w:val="it-IT"/>
        </w:rPr>
        <w:t>alla propagazione delle onde sismiche anche a distanza di centinaia di km</w:t>
      </w:r>
      <w:r>
        <w:rPr>
          <w:lang w:val="it-IT"/>
        </w:rPr>
        <w:t xml:space="preserve">, </w:t>
      </w:r>
      <w:r w:rsidR="00C2487A">
        <w:rPr>
          <w:lang w:val="it-IT"/>
        </w:rPr>
        <w:t>hanno talvolta dato luogo ad un “effetto cascata”, con</w:t>
      </w:r>
      <w:r>
        <w:rPr>
          <w:lang w:val="it-IT"/>
        </w:rPr>
        <w:t xml:space="preserve"> effetti secondari </w:t>
      </w:r>
      <w:r w:rsidR="007356D3">
        <w:rPr>
          <w:lang w:val="it-IT"/>
        </w:rPr>
        <w:t xml:space="preserve">che si sono concretizzati in </w:t>
      </w:r>
      <w:r w:rsidR="00E809E0">
        <w:rPr>
          <w:lang w:val="it-IT"/>
        </w:rPr>
        <w:t>fenomeni di “contagio sismico” tra faglie adiacenti</w:t>
      </w:r>
      <w:r w:rsidR="007356D3" w:rsidRPr="007356D3">
        <w:rPr>
          <w:lang w:val="it-IT"/>
        </w:rPr>
        <w:t>, attivazione e riattivazione di grandi frane e DGPV (Deformazione gravitativa profonda di versante), collassi di doline</w:t>
      </w:r>
      <w:r w:rsidR="007356D3">
        <w:rPr>
          <w:lang w:val="it-IT"/>
        </w:rPr>
        <w:t>,</w:t>
      </w:r>
      <w:r w:rsidR="007356D3" w:rsidRPr="007356D3">
        <w:rPr>
          <w:lang w:val="it-IT"/>
        </w:rPr>
        <w:t xml:space="preserve"> vulcanelli di fango</w:t>
      </w:r>
      <w:r w:rsidR="007356D3">
        <w:rPr>
          <w:lang w:val="it-IT"/>
        </w:rPr>
        <w:t>,</w:t>
      </w:r>
      <w:r w:rsidR="007356D3" w:rsidRPr="007356D3">
        <w:rPr>
          <w:lang w:val="it-IT"/>
        </w:rPr>
        <w:t xml:space="preserve"> fenomeni di liquefazione, sbarramenti per frana, modificazioni del regime idrico delle sorgenti e della portata dei fiumi</w:t>
      </w:r>
      <w:r w:rsidR="007356D3" w:rsidRPr="009648E1">
        <w:rPr>
          <w:rStyle w:val="Rimandonotaapidipagina"/>
          <w:lang w:val="it-IT"/>
        </w:rPr>
        <w:footnoteReference w:id="1"/>
      </w:r>
      <w:r w:rsidR="007356D3">
        <w:rPr>
          <w:lang w:val="it-IT"/>
        </w:rPr>
        <w:t>, con un’area interessata di migliaia di km</w:t>
      </w:r>
      <w:r w:rsidR="007356D3" w:rsidRPr="009648E1">
        <w:rPr>
          <w:vertAlign w:val="superscript"/>
          <w:lang w:val="it-IT"/>
        </w:rPr>
        <w:t>2</w:t>
      </w:r>
      <w:r w:rsidR="007356D3" w:rsidRPr="009648E1">
        <w:rPr>
          <w:lang w:val="it-IT"/>
        </w:rPr>
        <w:t>.</w:t>
      </w:r>
      <w:r>
        <w:rPr>
          <w:lang w:val="it-IT"/>
        </w:rPr>
        <w:t xml:space="preserve"> </w:t>
      </w:r>
    </w:p>
    <w:p w14:paraId="504E74F5" w14:textId="77777777" w:rsidR="00A21A42" w:rsidRPr="00321417" w:rsidRDefault="00A21A42" w:rsidP="00455C4F">
      <w:pPr>
        <w:pStyle w:val="CorpoA"/>
        <w:spacing w:after="120"/>
        <w:ind w:firstLine="708"/>
        <w:jc w:val="both"/>
        <w:rPr>
          <w:lang w:val="it-IT"/>
        </w:rPr>
      </w:pPr>
      <w:r>
        <w:rPr>
          <w:lang w:val="it-IT"/>
        </w:rPr>
        <w:t>Le maggiori realtà urbane</w:t>
      </w:r>
      <w:r w:rsidR="00E809E0">
        <w:rPr>
          <w:lang w:val="it-IT"/>
        </w:rPr>
        <w:t xml:space="preserve"> coinvolte</w:t>
      </w:r>
      <w:r>
        <w:rPr>
          <w:lang w:val="it-IT"/>
        </w:rPr>
        <w:t xml:space="preserve"> si posizionano </w:t>
      </w:r>
      <w:r w:rsidR="00E809E0">
        <w:rPr>
          <w:lang w:val="it-IT"/>
        </w:rPr>
        <w:t>nelle aree perimetrali del “cratere”</w:t>
      </w:r>
      <w:r w:rsidR="007A3268">
        <w:rPr>
          <w:lang w:val="it-IT"/>
        </w:rPr>
        <w:t>,</w:t>
      </w:r>
      <w:r>
        <w:rPr>
          <w:lang w:val="it-IT"/>
        </w:rPr>
        <w:t xml:space="preserve"> ai piedi delle aree montuose: Fabriano, Macerata e Ascoli Piceno (Marche), Teramo (Abruzzo), Rieti (Lazio), Spoleto (Umbria) sono Comuni spesso legati industrialmente alle ‘grandi’ città di costa.</w:t>
      </w:r>
      <w:r w:rsidR="00E809E0">
        <w:rPr>
          <w:lang w:val="it-IT"/>
        </w:rPr>
        <w:t xml:space="preserve"> Di converso,</w:t>
      </w:r>
      <w:r>
        <w:rPr>
          <w:lang w:val="it-IT"/>
        </w:rPr>
        <w:t xml:space="preserve"> </w:t>
      </w:r>
      <w:r w:rsidR="00E809E0">
        <w:rPr>
          <w:lang w:val="it-IT"/>
        </w:rPr>
        <w:lastRenderedPageBreak/>
        <w:t xml:space="preserve">al </w:t>
      </w:r>
      <w:r>
        <w:rPr>
          <w:lang w:val="it-IT"/>
        </w:rPr>
        <w:t xml:space="preserve">centro </w:t>
      </w:r>
      <w:r w:rsidR="007A3268">
        <w:rPr>
          <w:lang w:val="it-IT"/>
        </w:rPr>
        <w:t>dell’area</w:t>
      </w:r>
      <w:r>
        <w:rPr>
          <w:lang w:val="it-IT"/>
        </w:rPr>
        <w:t xml:space="preserve">, </w:t>
      </w:r>
      <w:r w:rsidR="00E809E0">
        <w:rPr>
          <w:lang w:val="it-IT"/>
        </w:rPr>
        <w:t>ad altitudini maggiori</w:t>
      </w:r>
      <w:r>
        <w:rPr>
          <w:lang w:val="it-IT"/>
        </w:rPr>
        <w:t>, primeggiano i nuclei di Norcia e Cascia (Umbria), Camerino e Arquata del Tronto (Marche), Accumuli e Amatrice (Lazio), Montereale e Isola del Gran Sasso d’Italia (Abruzzo).</w:t>
      </w:r>
      <w:r w:rsidR="002424DE" w:rsidRPr="00AC2D4F">
        <w:rPr>
          <w:lang w:val="it-IT"/>
        </w:rPr>
        <w:t xml:space="preserve"> </w:t>
      </w:r>
    </w:p>
    <w:p w14:paraId="6CE9CD31" w14:textId="77777777" w:rsidR="00A21A42" w:rsidRPr="00321417" w:rsidRDefault="00A21A42" w:rsidP="00455C4F">
      <w:pPr>
        <w:pStyle w:val="CorpoA"/>
        <w:spacing w:after="120"/>
        <w:ind w:firstLine="708"/>
        <w:jc w:val="both"/>
        <w:rPr>
          <w:lang w:val="it-IT"/>
        </w:rPr>
      </w:pPr>
      <w:r>
        <w:rPr>
          <w:lang w:val="it-IT"/>
        </w:rPr>
        <w:t xml:space="preserve">L’area </w:t>
      </w:r>
      <w:r w:rsidR="009911F5">
        <w:rPr>
          <w:lang w:val="it-IT"/>
        </w:rPr>
        <w:t xml:space="preserve">del cratere del sisma 2016 </w:t>
      </w:r>
      <w:r>
        <w:rPr>
          <w:lang w:val="it-IT"/>
        </w:rPr>
        <w:t xml:space="preserve">interessa </w:t>
      </w:r>
      <w:r w:rsidR="00453A0F" w:rsidRPr="00BA7A8B">
        <w:rPr>
          <w:color w:val="auto"/>
          <w:lang w:val="it-IT"/>
        </w:rPr>
        <w:t xml:space="preserve">140 </w:t>
      </w:r>
      <w:r>
        <w:rPr>
          <w:lang w:val="it-IT"/>
        </w:rPr>
        <w:t xml:space="preserve">comuni: </w:t>
      </w:r>
    </w:p>
    <w:p w14:paraId="6071CA1C" w14:textId="77777777" w:rsidR="00A21A42" w:rsidRPr="00321417" w:rsidRDefault="007E476D" w:rsidP="007A6A4F">
      <w:pPr>
        <w:pStyle w:val="CorpoA"/>
        <w:numPr>
          <w:ilvl w:val="0"/>
          <w:numId w:val="14"/>
        </w:numPr>
        <w:spacing w:after="120"/>
        <w:jc w:val="both"/>
        <w:rPr>
          <w:lang w:val="it-IT"/>
        </w:rPr>
      </w:pPr>
      <w:r>
        <w:rPr>
          <w:lang w:val="it-IT"/>
        </w:rPr>
        <w:t xml:space="preserve">87 </w:t>
      </w:r>
      <w:r w:rsidR="00A21A42">
        <w:rPr>
          <w:lang w:val="it-IT"/>
        </w:rPr>
        <w:t>nelle Marche (</w:t>
      </w:r>
      <w:r>
        <w:rPr>
          <w:lang w:val="it-IT"/>
        </w:rPr>
        <w:t>4</w:t>
      </w:r>
      <w:r w:rsidR="00453A0F">
        <w:rPr>
          <w:lang w:val="it-IT"/>
        </w:rPr>
        <w:t>6</w:t>
      </w:r>
      <w:r>
        <w:rPr>
          <w:lang w:val="it-IT"/>
        </w:rPr>
        <w:t xml:space="preserve"> </w:t>
      </w:r>
      <w:r w:rsidR="00A21A42">
        <w:rPr>
          <w:lang w:val="it-IT"/>
        </w:rPr>
        <w:t xml:space="preserve">in provincia di Macerata, </w:t>
      </w:r>
      <w:r>
        <w:rPr>
          <w:lang w:val="it-IT"/>
        </w:rPr>
        <w:t>2</w:t>
      </w:r>
      <w:r w:rsidR="00453A0F">
        <w:rPr>
          <w:lang w:val="it-IT"/>
        </w:rPr>
        <w:t>2</w:t>
      </w:r>
      <w:r>
        <w:rPr>
          <w:lang w:val="it-IT"/>
        </w:rPr>
        <w:t xml:space="preserve"> </w:t>
      </w:r>
      <w:r w:rsidR="00A21A42">
        <w:rPr>
          <w:lang w:val="it-IT"/>
        </w:rPr>
        <w:t>in quella di Ascoli Piceno, 17 in quella di Fermo e 2 in provincia di Ancona);</w:t>
      </w:r>
    </w:p>
    <w:p w14:paraId="08637103" w14:textId="77777777" w:rsidR="00A21A42" w:rsidRPr="00321417" w:rsidRDefault="00A21A42" w:rsidP="007A6A4F">
      <w:pPr>
        <w:pStyle w:val="CorpoA"/>
        <w:numPr>
          <w:ilvl w:val="0"/>
          <w:numId w:val="14"/>
        </w:numPr>
        <w:spacing w:after="120"/>
        <w:jc w:val="both"/>
        <w:rPr>
          <w:lang w:val="it-IT"/>
        </w:rPr>
      </w:pPr>
      <w:r>
        <w:rPr>
          <w:lang w:val="it-IT"/>
        </w:rPr>
        <w:t xml:space="preserve">23 in Abruzzo (16 in provincia di Teramo, 6 in provincia di </w:t>
      </w:r>
      <w:r w:rsidR="007E476D">
        <w:rPr>
          <w:lang w:val="it-IT"/>
        </w:rPr>
        <w:t>L</w:t>
      </w:r>
      <w:r>
        <w:rPr>
          <w:lang w:val="it-IT"/>
        </w:rPr>
        <w:t>’Aquila e 1 in provincia di Pescara);</w:t>
      </w:r>
    </w:p>
    <w:p w14:paraId="69F33596" w14:textId="77777777" w:rsidR="00A21A42" w:rsidRPr="00321417" w:rsidRDefault="00A21A42" w:rsidP="007A6A4F">
      <w:pPr>
        <w:pStyle w:val="CorpoA"/>
        <w:numPr>
          <w:ilvl w:val="0"/>
          <w:numId w:val="14"/>
        </w:numPr>
        <w:spacing w:after="120"/>
        <w:jc w:val="both"/>
        <w:rPr>
          <w:lang w:val="it-IT"/>
        </w:rPr>
      </w:pPr>
      <w:r>
        <w:rPr>
          <w:lang w:val="it-IT"/>
        </w:rPr>
        <w:t>15 nel Lazio (in provincia di Rieti);</w:t>
      </w:r>
    </w:p>
    <w:p w14:paraId="325BAFDB" w14:textId="77777777" w:rsidR="00710D54" w:rsidRDefault="00A21A42" w:rsidP="007A6A4F">
      <w:pPr>
        <w:pStyle w:val="CorpoA"/>
        <w:numPr>
          <w:ilvl w:val="0"/>
          <w:numId w:val="14"/>
        </w:numPr>
        <w:spacing w:after="120"/>
        <w:jc w:val="both"/>
        <w:rPr>
          <w:lang w:val="it-IT"/>
        </w:rPr>
      </w:pPr>
      <w:r>
        <w:rPr>
          <w:lang w:val="it-IT"/>
        </w:rPr>
        <w:t xml:space="preserve">15 in Umbria (11 in provincia di Perugia e 4 in quella di Terni). </w:t>
      </w:r>
    </w:p>
    <w:p w14:paraId="027641C6" w14:textId="77777777" w:rsidR="005A614F" w:rsidRPr="00321417" w:rsidRDefault="005A614F" w:rsidP="00455C4F">
      <w:pPr>
        <w:pStyle w:val="CorpoA"/>
        <w:spacing w:after="120"/>
        <w:jc w:val="both"/>
        <w:rPr>
          <w:lang w:val="it-IT"/>
        </w:rPr>
      </w:pPr>
      <w:r>
        <w:rPr>
          <w:lang w:val="it-IT"/>
        </w:rPr>
        <w:tab/>
      </w:r>
      <w:r w:rsidR="00A21A42">
        <w:rPr>
          <w:lang w:val="it-IT"/>
        </w:rPr>
        <w:t>La superficie urbana totale ammonta a 234,82 km</w:t>
      </w:r>
      <w:r w:rsidR="00A21A42" w:rsidRPr="009A770D">
        <w:rPr>
          <w:vertAlign w:val="superscript"/>
          <w:lang w:val="it-IT"/>
        </w:rPr>
        <w:t>2</w:t>
      </w:r>
      <w:r w:rsidR="00A21A42">
        <w:rPr>
          <w:lang w:val="it-IT"/>
        </w:rPr>
        <w:t xml:space="preserve"> (23.482 ha), che corrispondono a circa il 2,9% della superficie totale dell’area.</w:t>
      </w:r>
      <w:r w:rsidR="00910FE0">
        <w:rPr>
          <w:rStyle w:val="Rimandonotaapidipagina"/>
          <w:lang w:val="it-IT"/>
        </w:rPr>
        <w:footnoteReference w:id="2"/>
      </w:r>
      <w:r w:rsidR="00A21A42">
        <w:rPr>
          <w:lang w:val="it-IT"/>
        </w:rPr>
        <w:t xml:space="preserve"> </w:t>
      </w:r>
      <w:r>
        <w:rPr>
          <w:lang w:val="it-IT"/>
        </w:rPr>
        <w:t>La dinamica demografica nell’area del cratere 2016 non è omogenea, con grande variabilità a livello provinciale e comunale, dovuta alle diverse zone altimetriche. I comuni delle montagne (il 35% del totale dei comuni delle 4 regioni) e delle colline interne (43,1%) registrano, infatti, un forte spopolamento: nel periodo 2011-2019 la montagna delle 4 regioni ha perso il 9,5% della popolazione e la collina interna il 3,9%</w:t>
      </w:r>
      <w:r w:rsidRPr="006E60DB">
        <w:rPr>
          <w:rStyle w:val="Rimandonotaapidipagina"/>
          <w:lang w:val="it-IT"/>
        </w:rPr>
        <w:footnoteReference w:id="3"/>
      </w:r>
      <w:r w:rsidRPr="006E60DB">
        <w:rPr>
          <w:lang w:val="it-IT"/>
        </w:rPr>
        <w:t>.</w:t>
      </w:r>
      <w:r>
        <w:rPr>
          <w:lang w:val="it-IT"/>
        </w:rPr>
        <w:t xml:space="preserve"> </w:t>
      </w:r>
    </w:p>
    <w:p w14:paraId="0DC5FAE9" w14:textId="77777777" w:rsidR="005A614F" w:rsidRDefault="005A614F" w:rsidP="00455C4F">
      <w:pPr>
        <w:pStyle w:val="CorpoA"/>
        <w:spacing w:after="120"/>
        <w:jc w:val="both"/>
        <w:rPr>
          <w:lang w:val="it-IT"/>
        </w:rPr>
      </w:pPr>
      <w:r>
        <w:rPr>
          <w:lang w:val="it-IT"/>
        </w:rPr>
        <w:tab/>
        <w:t xml:space="preserve">Il tessuto </w:t>
      </w:r>
      <w:r w:rsidR="00307256">
        <w:rPr>
          <w:lang w:val="it-IT"/>
        </w:rPr>
        <w:t>socioeconomico</w:t>
      </w:r>
      <w:r>
        <w:rPr>
          <w:lang w:val="it-IT"/>
        </w:rPr>
        <w:t xml:space="preserve"> dell’area è «basato su imprese autoctone, prevalentemente piccole, ampiamente diffuse sul territorio, intimamente collegate con l’ambiente della campagna e delle piccole e medie città»</w:t>
      </w:r>
      <w:r w:rsidR="00307256" w:rsidRPr="006E60DB">
        <w:rPr>
          <w:rStyle w:val="Rimandonotaapidipagina"/>
          <w:lang w:val="it-IT"/>
        </w:rPr>
        <w:footnoteReference w:id="4"/>
      </w:r>
      <w:r w:rsidR="00307256" w:rsidRPr="006E60DB">
        <w:rPr>
          <w:lang w:val="it-IT"/>
        </w:rPr>
        <w:t>.</w:t>
      </w:r>
      <w:r w:rsidR="00307256">
        <w:rPr>
          <w:lang w:val="it-IT"/>
        </w:rPr>
        <w:t xml:space="preserve"> </w:t>
      </w:r>
      <w:r>
        <w:rPr>
          <w:lang w:val="it-IT"/>
        </w:rPr>
        <w:t xml:space="preserve"> Questo sistema è quello che A. Bagnasco (1977) ha descritto come il sistema produttivo della Terza Italia, nato laddove esisteva già una manodopera qualificata all’interno di una fitta rete di realtà urbane medio-piccole, quale motore della ‘città diffusa’</w:t>
      </w:r>
      <w:r w:rsidR="00307256">
        <w:rPr>
          <w:lang w:val="it-IT"/>
        </w:rPr>
        <w:t>.</w:t>
      </w:r>
      <w:r w:rsidR="00307256">
        <w:rPr>
          <w:rStyle w:val="Rimandonotaapidipagina"/>
          <w:lang w:val="it-IT"/>
        </w:rPr>
        <w:footnoteReference w:id="5"/>
      </w:r>
      <w:r w:rsidR="00307256">
        <w:rPr>
          <w:lang w:val="it-IT"/>
        </w:rPr>
        <w:t xml:space="preserve"> </w:t>
      </w:r>
      <w:r>
        <w:rPr>
          <w:lang w:val="it-IT"/>
        </w:rPr>
        <w:t>Marche, Umbria e Lazio (sebbene quest’ultima fortemente condizionata dalla presenza di Roma) assieme all’Abruzzo</w:t>
      </w:r>
      <w:r w:rsidR="00307256">
        <w:rPr>
          <w:lang w:val="it-IT"/>
        </w:rPr>
        <w:t xml:space="preserve">, </w:t>
      </w:r>
      <w:r>
        <w:rPr>
          <w:lang w:val="it-IT"/>
        </w:rPr>
        <w:t>sono oggi oggetto di studi specifici per orientare un nuovo sviluppo economico più resiliente e consapevole dei rischi a cui è sottoposto. Un sistema territoriale ed economico radicato nella struttura socio-territoriale ma che già prima degli eventi sismici presentava elementi di fragilità</w:t>
      </w:r>
      <w:r w:rsidR="00D92D5E">
        <w:rPr>
          <w:rStyle w:val="Rimandonotaapidipagina"/>
          <w:lang w:val="it-IT"/>
        </w:rPr>
        <w:footnoteReference w:id="6"/>
      </w:r>
      <w:r w:rsidR="00D92D5E">
        <w:rPr>
          <w:lang w:val="it-IT"/>
        </w:rPr>
        <w:t>.</w:t>
      </w:r>
    </w:p>
    <w:p w14:paraId="7F37760A" w14:textId="77777777" w:rsidR="00307256" w:rsidRPr="00321417" w:rsidRDefault="00D92D5E" w:rsidP="00455C4F">
      <w:pPr>
        <w:pStyle w:val="CorpoA"/>
        <w:spacing w:after="120"/>
        <w:jc w:val="both"/>
        <w:rPr>
          <w:lang w:val="it-IT"/>
        </w:rPr>
      </w:pPr>
      <w:r>
        <w:rPr>
          <w:lang w:val="it-IT"/>
        </w:rPr>
        <w:tab/>
      </w:r>
      <w:r w:rsidR="00307256" w:rsidRPr="00321417">
        <w:rPr>
          <w:lang w:val="it-IT"/>
        </w:rPr>
        <w:t>L</w:t>
      </w:r>
      <w:r w:rsidR="00307256">
        <w:rPr>
          <w:lang w:val="it-IT"/>
        </w:rPr>
        <w:t xml:space="preserve">’area del cratere </w:t>
      </w:r>
      <w:r>
        <w:rPr>
          <w:lang w:val="it-IT"/>
        </w:rPr>
        <w:t xml:space="preserve">2016 </w:t>
      </w:r>
      <w:r w:rsidR="00307256">
        <w:rPr>
          <w:lang w:val="it-IT"/>
        </w:rPr>
        <w:t xml:space="preserve">presenta al suo interno delle storiche macro-specializzazioni economiche che rendono l’ambito di studio particolarmente variegato. Tra queste vi è quella marchigiana di Macerata e Fermo, qualificata nel settore calzaturiero che primeggia a livello nazionale, di Fabriano con l’industria cartiera e con alcune importanti aziende di elettrodomestici (Indesit, Merloni e Ariston); dell’entroterra ascolano con specializzazioni agroalimentari; quella abruzzese della Val Vibrata (Teramo-Giulianova) specializzata nella pelletteria e nell’abbigliamento; mentre a Rieti e Cittaducale è attivo un distretto produttivo nei settori a elevato contenuto innovativo (ad esempio l’azienda </w:t>
      </w:r>
      <w:proofErr w:type="spellStart"/>
      <w:r w:rsidR="00307256">
        <w:rPr>
          <w:lang w:val="it-IT"/>
        </w:rPr>
        <w:t>Solsonica</w:t>
      </w:r>
      <w:proofErr w:type="spellEnd"/>
      <w:r w:rsidR="00307256">
        <w:rPr>
          <w:lang w:val="it-IT"/>
        </w:rPr>
        <w:t>, che qui ha sede, è leader nel fotovoltaico di ultima generazione)</w:t>
      </w:r>
      <w:r>
        <w:rPr>
          <w:lang w:val="it-IT"/>
        </w:rPr>
        <w:t>.</w:t>
      </w:r>
      <w:r>
        <w:rPr>
          <w:rStyle w:val="Rimandonotaapidipagina"/>
          <w:lang w:val="it-IT"/>
        </w:rPr>
        <w:footnoteReference w:id="7"/>
      </w:r>
      <w:r w:rsidR="00307256">
        <w:rPr>
          <w:lang w:val="it-IT"/>
        </w:rPr>
        <w:t xml:space="preserve"> </w:t>
      </w:r>
    </w:p>
    <w:p w14:paraId="0DB853B9" w14:textId="77777777" w:rsidR="00D92D5E" w:rsidRDefault="00D92D5E" w:rsidP="00455C4F">
      <w:pPr>
        <w:pStyle w:val="CorpoA"/>
        <w:spacing w:after="120"/>
        <w:jc w:val="both"/>
        <w:rPr>
          <w:lang w:val="it-IT"/>
        </w:rPr>
      </w:pPr>
      <w:r>
        <w:rPr>
          <w:lang w:val="it-IT"/>
        </w:rPr>
        <w:tab/>
      </w:r>
      <w:r w:rsidR="00307256">
        <w:rPr>
          <w:lang w:val="it-IT"/>
        </w:rPr>
        <w:t xml:space="preserve">Nel complesso, l’area appare più specializzata nell’agricoltura e nell’industria in senso stretto e meno nei servizi. Poco meno di un terzo degli addetti dell’area era occupato nell’industria in senso stretto (32% degli addetti; 19% nella media regionale) per un totale di circa 5.500 unità locali. </w:t>
      </w:r>
    </w:p>
    <w:p w14:paraId="73709DDF" w14:textId="77777777" w:rsidR="00384B1C" w:rsidRDefault="00D92D5E" w:rsidP="00455C4F">
      <w:pPr>
        <w:pStyle w:val="CorpoA"/>
        <w:spacing w:after="120"/>
        <w:jc w:val="both"/>
        <w:rPr>
          <w:lang w:val="it-IT"/>
        </w:rPr>
      </w:pPr>
      <w:r>
        <w:rPr>
          <w:lang w:val="it-IT"/>
        </w:rPr>
        <w:lastRenderedPageBreak/>
        <w:tab/>
      </w:r>
      <w:r w:rsidR="00307256">
        <w:rPr>
          <w:lang w:val="it-IT"/>
        </w:rPr>
        <w:t xml:space="preserve">Le quote maggiori si registravano per i comuni delle Marche (37%, superiore di circa 2 punti alla media regionale) e del Lazio (22%, 10 punti al di sopra la media regionale); in quelli umbri e quelli abruzzesi la quota, di poco superiore al 20%, era inferiore alla media. </w:t>
      </w:r>
    </w:p>
    <w:p w14:paraId="426560A8" w14:textId="77777777" w:rsidR="00D92D5E" w:rsidRDefault="00D92D5E" w:rsidP="00455C4F">
      <w:pPr>
        <w:pStyle w:val="CorpoA"/>
        <w:spacing w:after="120"/>
        <w:jc w:val="both"/>
        <w:rPr>
          <w:lang w:val="it-IT"/>
        </w:rPr>
      </w:pPr>
      <w:r>
        <w:rPr>
          <w:lang w:val="it-IT"/>
        </w:rPr>
        <w:tab/>
      </w:r>
      <w:r w:rsidR="00307256">
        <w:rPr>
          <w:lang w:val="it-IT"/>
        </w:rPr>
        <w:t xml:space="preserve">In ciascuna delle quattro regioni, l’edilizia assorbiva una quota di addetti nei comuni interessati dal sisma pari al 9,8%, superiore al rispettivo dato regionale (8,2); la quota sale all’11,6% nei comuni abruzzesi ed è minima in quelli marchigiani (9,2). Il peso dei servizi (58% degli addetti) nel complesso inferiore alla media regionale (73% nella media regionale), era sostanzialmente in linea con la media in tutte le regioni meno che nel Lazio, dove la capitale innalza la media. </w:t>
      </w:r>
    </w:p>
    <w:p w14:paraId="4639F58E" w14:textId="77777777" w:rsidR="00384B1C" w:rsidRDefault="00D92D5E" w:rsidP="00455C4F">
      <w:pPr>
        <w:pStyle w:val="CorpoA"/>
        <w:spacing w:after="120"/>
        <w:jc w:val="both"/>
        <w:rPr>
          <w:lang w:val="it-IT"/>
        </w:rPr>
      </w:pPr>
      <w:r>
        <w:rPr>
          <w:lang w:val="it-IT"/>
        </w:rPr>
        <w:tab/>
      </w:r>
      <w:r w:rsidR="00307256">
        <w:rPr>
          <w:lang w:val="it-IT"/>
        </w:rPr>
        <w:t xml:space="preserve">L’agricoltura e il turismo ricoprono ruoli rilevanti nell’area. La superficie agricola totale nel cratere </w:t>
      </w:r>
      <w:r>
        <w:rPr>
          <w:lang w:val="it-IT"/>
        </w:rPr>
        <w:t xml:space="preserve">2016 </w:t>
      </w:r>
      <w:r w:rsidR="00307256">
        <w:rPr>
          <w:lang w:val="it-IT"/>
        </w:rPr>
        <w:t xml:space="preserve">è pari a circa il 17,0% di quella totale delle quattro regioni e accoglie circa un decimo delle aziende agricole complessivamente presenti nelle regioni. L’incidenza delle aziende agricole sulla popolazione è superiore alla media (4,4 contro 2,7 per cento). </w:t>
      </w:r>
    </w:p>
    <w:p w14:paraId="388E3156" w14:textId="77777777" w:rsidR="00307256" w:rsidRDefault="00D92D5E" w:rsidP="00455C4F">
      <w:pPr>
        <w:pStyle w:val="CorpoA"/>
        <w:spacing w:after="120"/>
        <w:jc w:val="both"/>
        <w:rPr>
          <w:lang w:val="it-IT"/>
        </w:rPr>
      </w:pPr>
      <w:r>
        <w:rPr>
          <w:lang w:val="it-IT"/>
        </w:rPr>
        <w:tab/>
      </w:r>
      <w:r w:rsidR="00307256">
        <w:rPr>
          <w:lang w:val="it-IT"/>
        </w:rPr>
        <w:t>Il turismo era un comparto importante per l’area colpita dal sisma, soprattutto per i comuni dell’Umbria e delle Marche. Nell’area erano presenti oltre 1.800 esercizi turistici che hanno accolto nel 2015 (ultimo dato disponibile) circa 625.000 visitatori. L’importanza del turismo si evidenzia soprattutto per i comuni umbri del cratere, dove il numero di strutture ricettive e di arrivi di turisti rispetto alla popolazione locale era considerevolmente superiore sia nel confronto con la media dell’intera Umbria, sia con i comuni del cratere delle altre regioni.</w:t>
      </w:r>
      <w:r w:rsidR="00384B1C">
        <w:rPr>
          <w:rStyle w:val="Rimandonotaapidipagina"/>
          <w:lang w:val="it-IT"/>
        </w:rPr>
        <w:footnoteReference w:id="8"/>
      </w:r>
    </w:p>
    <w:p w14:paraId="42078789" w14:textId="77777777" w:rsidR="00F53DBC" w:rsidRDefault="00F53DBC" w:rsidP="00991BB1">
      <w:pPr>
        <w:pStyle w:val="CorpoA"/>
        <w:spacing w:after="120"/>
        <w:jc w:val="both"/>
        <w:rPr>
          <w:lang w:val="it-IT"/>
        </w:rPr>
      </w:pPr>
    </w:p>
    <w:p w14:paraId="35E75DB3" w14:textId="77777777" w:rsidR="002424DE" w:rsidRPr="00D92D5E" w:rsidRDefault="00991BB1" w:rsidP="006F363C">
      <w:pPr>
        <w:pStyle w:val="CorpoA"/>
        <w:ind w:firstLine="708"/>
        <w:jc w:val="both"/>
        <w:rPr>
          <w:color w:val="4472C4" w:themeColor="accent1"/>
          <w:lang w:val="it-IT"/>
        </w:rPr>
      </w:pPr>
      <w:r>
        <w:rPr>
          <w:b/>
          <w:bCs/>
          <w:i/>
          <w:color w:val="4472C4" w:themeColor="accent1"/>
          <w:lang w:val="it-IT"/>
        </w:rPr>
        <w:t>2</w:t>
      </w:r>
      <w:r w:rsidR="00307256" w:rsidRPr="00D92D5E">
        <w:rPr>
          <w:b/>
          <w:bCs/>
          <w:i/>
          <w:color w:val="4472C4" w:themeColor="accent1"/>
          <w:lang w:val="it-IT"/>
        </w:rPr>
        <w:t>.2 Il Cratere del sisma 2009</w:t>
      </w:r>
    </w:p>
    <w:p w14:paraId="08026815" w14:textId="77777777" w:rsidR="002424DE" w:rsidRPr="0040128A" w:rsidRDefault="002424DE" w:rsidP="006F363C">
      <w:pPr>
        <w:pStyle w:val="CorpoA"/>
        <w:ind w:firstLine="708"/>
        <w:jc w:val="both"/>
        <w:rPr>
          <w:strike/>
          <w:color w:val="FF0000"/>
          <w:lang w:val="it-IT"/>
        </w:rPr>
      </w:pPr>
    </w:p>
    <w:p w14:paraId="5F5FAF1D" w14:textId="77777777" w:rsidR="008E35E5" w:rsidRDefault="008E17FC" w:rsidP="00455C4F">
      <w:pPr>
        <w:pStyle w:val="CorpoA"/>
        <w:spacing w:after="120"/>
        <w:ind w:firstLine="709"/>
        <w:jc w:val="both"/>
        <w:rPr>
          <w:lang w:val="it-IT"/>
        </w:rPr>
      </w:pPr>
      <w:r w:rsidRPr="008E17FC">
        <w:rPr>
          <w:lang w:val="it-IT"/>
        </w:rPr>
        <w:t xml:space="preserve">Il territorio del </w:t>
      </w:r>
      <w:r w:rsidRPr="009A770D">
        <w:rPr>
          <w:b/>
          <w:bCs/>
          <w:lang w:val="it-IT"/>
        </w:rPr>
        <w:t>Cratere</w:t>
      </w:r>
      <w:r w:rsidRPr="008E17FC">
        <w:rPr>
          <w:lang w:val="it-IT"/>
        </w:rPr>
        <w:t xml:space="preserve"> </w:t>
      </w:r>
      <w:r w:rsidR="00F51D75">
        <w:rPr>
          <w:lang w:val="it-IT"/>
        </w:rPr>
        <w:t>generato</w:t>
      </w:r>
      <w:r w:rsidRPr="008E17FC">
        <w:rPr>
          <w:lang w:val="it-IT"/>
        </w:rPr>
        <w:t xml:space="preserve"> dal </w:t>
      </w:r>
      <w:r w:rsidRPr="009A770D">
        <w:rPr>
          <w:b/>
          <w:bCs/>
          <w:lang w:val="it-IT"/>
        </w:rPr>
        <w:t>sisma</w:t>
      </w:r>
      <w:r w:rsidRPr="008E17FC">
        <w:rPr>
          <w:lang w:val="it-IT"/>
        </w:rPr>
        <w:t xml:space="preserve"> che il </w:t>
      </w:r>
      <w:r w:rsidRPr="009A770D">
        <w:rPr>
          <w:b/>
          <w:bCs/>
          <w:lang w:val="it-IT"/>
        </w:rPr>
        <w:t>6 aprile 2009</w:t>
      </w:r>
      <w:r w:rsidRPr="008E17FC">
        <w:rPr>
          <w:lang w:val="it-IT"/>
        </w:rPr>
        <w:t xml:space="preserve"> ha colpito l</w:t>
      </w:r>
      <w:r w:rsidRPr="00F51D75">
        <w:rPr>
          <w:lang w:val="it-IT"/>
        </w:rPr>
        <w:t xml:space="preserve">’Abruzzo </w:t>
      </w:r>
      <w:r w:rsidR="00F51D75">
        <w:rPr>
          <w:lang w:val="it-IT"/>
        </w:rPr>
        <w:t>ha interessato</w:t>
      </w:r>
      <w:r w:rsidR="0052098F" w:rsidRPr="0040128A">
        <w:rPr>
          <w:lang w:val="it-IT"/>
        </w:rPr>
        <w:t xml:space="preserve"> un’area di circa 2390 km</w:t>
      </w:r>
      <w:r w:rsidR="0052098F" w:rsidRPr="000E3A8B">
        <w:rPr>
          <w:vertAlign w:val="superscript"/>
          <w:lang w:val="it-IT"/>
        </w:rPr>
        <w:t>2</w:t>
      </w:r>
      <w:r w:rsidR="00910FE0">
        <w:rPr>
          <w:lang w:val="it-IT"/>
        </w:rPr>
        <w:t xml:space="preserve">, corrispondente a circa il </w:t>
      </w:r>
      <w:r w:rsidR="00910FE0" w:rsidRPr="000E3A8B">
        <w:rPr>
          <w:lang w:val="it-IT"/>
        </w:rPr>
        <w:t>22% dell’intero territorio regionale abruzzese</w:t>
      </w:r>
      <w:r w:rsidR="00910FE0">
        <w:rPr>
          <w:rStyle w:val="Rimandonotaapidipagina"/>
          <w:lang w:val="it-IT"/>
        </w:rPr>
        <w:footnoteReference w:id="9"/>
      </w:r>
      <w:r w:rsidR="00910FE0">
        <w:rPr>
          <w:lang w:val="it-IT"/>
        </w:rPr>
        <w:t>,</w:t>
      </w:r>
      <w:r w:rsidR="00910FE0">
        <w:rPr>
          <w:rFonts w:ascii="BookmanOldStyle" w:hAnsi="BookmanOldStyle"/>
          <w:lang w:val="it-IT"/>
        </w:rPr>
        <w:t xml:space="preserve"> </w:t>
      </w:r>
      <w:r w:rsidRPr="008E17FC">
        <w:rPr>
          <w:lang w:val="it-IT"/>
        </w:rPr>
        <w:t xml:space="preserve">ricomprende 57 Comuni, tra i quali la città di L’Aquila, capoluogo di Regione. L’area di sviluppa sul territorio di 3 Province (42 Comuni in Provincia di L’Aquila, 7 Comuni in Provincia di Pescara e 8 Comuni in Provincia di Teramo). </w:t>
      </w:r>
      <w:r w:rsidR="00B86B53">
        <w:rPr>
          <w:lang w:val="it-IT"/>
        </w:rPr>
        <w:t xml:space="preserve">Inoltre, 12 comuni abruzzesi ricadono </w:t>
      </w:r>
      <w:r w:rsidR="003F3896">
        <w:rPr>
          <w:lang w:val="it-IT"/>
        </w:rPr>
        <w:t xml:space="preserve">nell’area </w:t>
      </w:r>
      <w:r w:rsidR="00B86B53">
        <w:rPr>
          <w:lang w:val="it-IT"/>
        </w:rPr>
        <w:t xml:space="preserve">del cosiddetto “doppio cratere”, poiché interessati anche </w:t>
      </w:r>
      <w:r w:rsidR="007A3268">
        <w:rPr>
          <w:lang w:val="it-IT"/>
        </w:rPr>
        <w:t>dalle sequenze sismiche</w:t>
      </w:r>
      <w:r w:rsidR="00B86B53">
        <w:rPr>
          <w:lang w:val="it-IT"/>
        </w:rPr>
        <w:t xml:space="preserve"> del 2016-2017. </w:t>
      </w:r>
      <w:r w:rsidR="00593B08">
        <w:rPr>
          <w:lang w:val="it-IT"/>
        </w:rPr>
        <w:t xml:space="preserve">Rientrano nel territorio del sisma 2009 ulteriori 56 comuni, cosiddetti </w:t>
      </w:r>
      <w:r w:rsidR="007A3268">
        <w:rPr>
          <w:lang w:val="it-IT"/>
        </w:rPr>
        <w:t>‘</w:t>
      </w:r>
      <w:r w:rsidR="00593B08">
        <w:rPr>
          <w:lang w:val="it-IT"/>
        </w:rPr>
        <w:t>fuori cratere</w:t>
      </w:r>
      <w:r w:rsidR="007A3268">
        <w:rPr>
          <w:lang w:val="it-IT"/>
        </w:rPr>
        <w:t>’</w:t>
      </w:r>
      <w:r w:rsidR="00593B08">
        <w:rPr>
          <w:lang w:val="it-IT"/>
        </w:rPr>
        <w:t xml:space="preserve">. </w:t>
      </w:r>
    </w:p>
    <w:p w14:paraId="74CDE24B" w14:textId="77777777" w:rsidR="000309AC" w:rsidRPr="009A770D" w:rsidRDefault="008E17FC" w:rsidP="00455C4F">
      <w:pPr>
        <w:pStyle w:val="CorpoA"/>
        <w:spacing w:after="120"/>
        <w:ind w:firstLine="709"/>
        <w:jc w:val="both"/>
        <w:rPr>
          <w:lang w:val="it-IT"/>
        </w:rPr>
      </w:pPr>
      <w:r w:rsidRPr="008E17FC">
        <w:rPr>
          <w:lang w:val="it-IT"/>
        </w:rPr>
        <w:t xml:space="preserve">La geografia del </w:t>
      </w:r>
      <w:r>
        <w:rPr>
          <w:lang w:val="it-IT"/>
        </w:rPr>
        <w:t>c</w:t>
      </w:r>
      <w:r w:rsidRPr="008E17FC">
        <w:rPr>
          <w:lang w:val="it-IT"/>
        </w:rPr>
        <w:t xml:space="preserve">ratere sismico </w:t>
      </w:r>
      <w:r>
        <w:rPr>
          <w:lang w:val="it-IT"/>
        </w:rPr>
        <w:t xml:space="preserve">del 2009 </w:t>
      </w:r>
      <w:r w:rsidRPr="008E17FC">
        <w:rPr>
          <w:lang w:val="it-IT"/>
        </w:rPr>
        <w:t>interessa</w:t>
      </w:r>
      <w:r>
        <w:rPr>
          <w:lang w:val="it-IT"/>
        </w:rPr>
        <w:t xml:space="preserve">, </w:t>
      </w:r>
      <w:r w:rsidR="003F3896">
        <w:rPr>
          <w:lang w:val="it-IT"/>
        </w:rPr>
        <w:t>al pari di quella del</w:t>
      </w:r>
      <w:r>
        <w:rPr>
          <w:lang w:val="it-IT"/>
        </w:rPr>
        <w:t xml:space="preserve"> cratere del 2016, </w:t>
      </w:r>
      <w:r w:rsidRPr="008E17FC">
        <w:rPr>
          <w:lang w:val="it-IT"/>
        </w:rPr>
        <w:t>un’area prevalentemente montana ed alto collinare dell’</w:t>
      </w:r>
      <w:r>
        <w:rPr>
          <w:lang w:val="it-IT"/>
        </w:rPr>
        <w:t>A</w:t>
      </w:r>
      <w:r w:rsidRPr="008E17FC">
        <w:rPr>
          <w:lang w:val="it-IT"/>
        </w:rPr>
        <w:t xml:space="preserve">ppennino centrale, che si sviluppa lungo l’asse naturale del fiume Aterno. Il paesaggio alterna vallate, altopiani e montagne. Si tratta di un territorio ad elevata valenza ambientale e paesaggistica, connotato della presenza di aree sottoposte a tutela (Parco Nazionale del Gran Sasso e Monti della Laga, Parco Regionale del Sirente-Velino, e numerose Riserve Naturali), marcatamente diversificato in termini di dimensioni insediative, in </w:t>
      </w:r>
      <w:r w:rsidRPr="008E17FC">
        <w:rPr>
          <w:lang w:val="it-IT"/>
        </w:rPr>
        <w:lastRenderedPageBreak/>
        <w:t>quanto ricomprende aree ad esiguo impatto antropico</w:t>
      </w:r>
      <w:r w:rsidR="00BD5753">
        <w:rPr>
          <w:lang w:val="it-IT"/>
        </w:rPr>
        <w:t>,</w:t>
      </w:r>
      <w:r w:rsidRPr="008E17FC">
        <w:rPr>
          <w:lang w:val="it-IT"/>
        </w:rPr>
        <w:t xml:space="preserve"> come l’alta montagna</w:t>
      </w:r>
      <w:r w:rsidR="00BD5753">
        <w:rPr>
          <w:lang w:val="it-IT"/>
        </w:rPr>
        <w:t>,</w:t>
      </w:r>
      <w:r w:rsidRPr="008E17FC">
        <w:rPr>
          <w:lang w:val="it-IT"/>
        </w:rPr>
        <w:t xml:space="preserve"> ed aree a maggior impatto antropico</w:t>
      </w:r>
      <w:r w:rsidR="00BD5753">
        <w:rPr>
          <w:lang w:val="it-IT"/>
        </w:rPr>
        <w:t>,</w:t>
      </w:r>
      <w:r w:rsidRPr="008E17FC">
        <w:rPr>
          <w:lang w:val="it-IT"/>
        </w:rPr>
        <w:t xml:space="preserve"> come le valli fluviali, le conche e gli altopiani</w:t>
      </w:r>
      <w:r w:rsidR="0000525B">
        <w:rPr>
          <w:lang w:val="it-IT"/>
        </w:rPr>
        <w:t>.</w:t>
      </w:r>
    </w:p>
    <w:p w14:paraId="196F53A1" w14:textId="77777777" w:rsidR="00B63AD7" w:rsidRDefault="008E17FC" w:rsidP="00455C4F">
      <w:pPr>
        <w:pStyle w:val="CorpoA"/>
        <w:spacing w:after="120"/>
        <w:ind w:firstLine="709"/>
        <w:jc w:val="both"/>
        <w:rPr>
          <w:lang w:val="it-IT"/>
        </w:rPr>
      </w:pPr>
      <w:r w:rsidRPr="008E17FC">
        <w:rPr>
          <w:lang w:val="it-IT"/>
        </w:rPr>
        <w:t>La città di L’Aquila</w:t>
      </w:r>
      <w:r>
        <w:rPr>
          <w:lang w:val="it-IT"/>
        </w:rPr>
        <w:t xml:space="preserve"> </w:t>
      </w:r>
      <w:r w:rsidR="000211AC">
        <w:rPr>
          <w:lang w:val="it-IT"/>
        </w:rPr>
        <w:t>è il</w:t>
      </w:r>
      <w:r w:rsidRPr="008E17FC">
        <w:rPr>
          <w:lang w:val="it-IT"/>
        </w:rPr>
        <w:t xml:space="preserve"> principale accesso al sistema territoriale policentrico dei centri minori del cratere. Polo del terziario e sede dei principali servizi al territorio, L’Aquila funge da attrattore nei confronti dei comuni limitrofi, generando significativi flussi di spostamento giornalieri, </w:t>
      </w:r>
      <w:r w:rsidR="00710D54">
        <w:rPr>
          <w:lang w:val="it-IT"/>
        </w:rPr>
        <w:t xml:space="preserve">che confluiscono </w:t>
      </w:r>
      <w:r w:rsidRPr="008E17FC">
        <w:rPr>
          <w:lang w:val="it-IT"/>
        </w:rPr>
        <w:t>lungo la direttrice infrastrutturale interna di fondovalle, alla quale si aggancia la rete viaria locale, frammentata e condizionata dall’orografia del territorio.</w:t>
      </w:r>
      <w:r w:rsidR="00710D54">
        <w:rPr>
          <w:lang w:val="it-IT"/>
        </w:rPr>
        <w:t xml:space="preserve"> </w:t>
      </w:r>
    </w:p>
    <w:p w14:paraId="5EE80F0B" w14:textId="77777777" w:rsidR="00665894" w:rsidRDefault="008E17FC" w:rsidP="00455C4F">
      <w:pPr>
        <w:pStyle w:val="CorpoA"/>
        <w:spacing w:after="120"/>
        <w:ind w:firstLine="709"/>
        <w:jc w:val="both"/>
        <w:rPr>
          <w:lang w:val="it-IT"/>
        </w:rPr>
      </w:pPr>
      <w:r w:rsidRPr="008E17FC">
        <w:rPr>
          <w:lang w:val="it-IT"/>
        </w:rPr>
        <w:t xml:space="preserve">Il </w:t>
      </w:r>
      <w:r w:rsidR="00926112">
        <w:rPr>
          <w:lang w:val="it-IT"/>
        </w:rPr>
        <w:t>C</w:t>
      </w:r>
      <w:r w:rsidR="00926112" w:rsidRPr="008E17FC">
        <w:rPr>
          <w:lang w:val="it-IT"/>
        </w:rPr>
        <w:t xml:space="preserve">ratere </w:t>
      </w:r>
      <w:r w:rsidRPr="008E17FC">
        <w:rPr>
          <w:lang w:val="it-IT"/>
        </w:rPr>
        <w:t xml:space="preserve">sismico </w:t>
      </w:r>
      <w:r w:rsidR="00BD5753">
        <w:rPr>
          <w:lang w:val="it-IT"/>
        </w:rPr>
        <w:t xml:space="preserve">del 2009 </w:t>
      </w:r>
      <w:r w:rsidRPr="008E17FC">
        <w:rPr>
          <w:lang w:val="it-IT"/>
        </w:rPr>
        <w:t>è una realtà geografica fortemente differenziata per vocazione economica, accessibilità rispetto alle direttrici infrastrutturali, demografia e residenzialità (stabile o temporanea), livello di conservazione e qualità dei caratteri storici del tessuto edilizio, morfologia e dimensioni dei centri urbani, diverso livello di danno riportato a seguito del sisma.</w:t>
      </w:r>
      <w:r w:rsidR="00710D54">
        <w:rPr>
          <w:lang w:val="it-IT"/>
        </w:rPr>
        <w:t xml:space="preserve"> </w:t>
      </w:r>
    </w:p>
    <w:p w14:paraId="079604BF" w14:textId="77777777" w:rsidR="000309AC" w:rsidRDefault="008E17FC" w:rsidP="00455C4F">
      <w:pPr>
        <w:pStyle w:val="CorpoA"/>
        <w:spacing w:after="120"/>
        <w:ind w:firstLine="709"/>
        <w:jc w:val="both"/>
        <w:rPr>
          <w:lang w:val="it-IT"/>
        </w:rPr>
      </w:pPr>
      <w:r w:rsidRPr="008E17FC">
        <w:rPr>
          <w:lang w:val="it-IT"/>
        </w:rPr>
        <w:t xml:space="preserve">L‘area è interessata da numerose forme di cooperazione istituzionale tra Comuni, le cui finalità sono prevalentemente rivolte alla programmazione e alla gestione del territorio. </w:t>
      </w:r>
      <w:r w:rsidR="003F3896">
        <w:rPr>
          <w:lang w:val="it-IT"/>
        </w:rPr>
        <w:t>Con tale spirito, i</w:t>
      </w:r>
      <w:r w:rsidR="003F3896" w:rsidRPr="008E17FC">
        <w:rPr>
          <w:lang w:val="it-IT"/>
        </w:rPr>
        <w:t xml:space="preserve">l </w:t>
      </w:r>
      <w:r w:rsidRPr="008E17FC">
        <w:rPr>
          <w:lang w:val="it-IT"/>
        </w:rPr>
        <w:t xml:space="preserve">Cratere, per dare risposta alle complesse esigenze della ricostruzione, è </w:t>
      </w:r>
      <w:r w:rsidR="003F3896">
        <w:rPr>
          <w:lang w:val="it-IT"/>
        </w:rPr>
        <w:t>stato</w:t>
      </w:r>
      <w:r w:rsidR="003F3896" w:rsidRPr="008E17FC">
        <w:rPr>
          <w:lang w:val="it-IT"/>
        </w:rPr>
        <w:t xml:space="preserve"> </w:t>
      </w:r>
      <w:r w:rsidRPr="008E17FC">
        <w:rPr>
          <w:lang w:val="it-IT"/>
        </w:rPr>
        <w:t xml:space="preserve">articolato in </w:t>
      </w:r>
      <w:r w:rsidR="00B86B53">
        <w:rPr>
          <w:lang w:val="it-IT"/>
        </w:rPr>
        <w:t xml:space="preserve">8 </w:t>
      </w:r>
      <w:r w:rsidRPr="008E17FC">
        <w:rPr>
          <w:lang w:val="it-IT"/>
        </w:rPr>
        <w:t xml:space="preserve">Aree omogenee (AO), che costituiscono forme associative dei Comuni, definite secondo criteri di vicinanza geografica, ma anche di affinità per identità e vocazione </w:t>
      </w:r>
      <w:r w:rsidR="003F3896">
        <w:rPr>
          <w:lang w:val="it-IT"/>
        </w:rPr>
        <w:t xml:space="preserve">culturale ed </w:t>
      </w:r>
      <w:r w:rsidRPr="008E17FC">
        <w:rPr>
          <w:lang w:val="it-IT"/>
        </w:rPr>
        <w:t xml:space="preserve">economica, volte a favorire il coordinamento tra Amministrazioni pubbliche e </w:t>
      </w:r>
      <w:r w:rsidR="003F3896">
        <w:rPr>
          <w:lang w:val="it-IT"/>
        </w:rPr>
        <w:t>per</w:t>
      </w:r>
      <w:r w:rsidR="003F3896" w:rsidRPr="008E17FC">
        <w:rPr>
          <w:lang w:val="it-IT"/>
        </w:rPr>
        <w:t xml:space="preserve"> </w:t>
      </w:r>
      <w:r w:rsidRPr="008E17FC">
        <w:rPr>
          <w:lang w:val="it-IT"/>
        </w:rPr>
        <w:t>attivare azioni e politiche</w:t>
      </w:r>
      <w:r w:rsidR="003F3896">
        <w:rPr>
          <w:lang w:val="it-IT"/>
        </w:rPr>
        <w:t xml:space="preserve"> </w:t>
      </w:r>
      <w:r w:rsidR="003F3896" w:rsidRPr="008E17FC">
        <w:rPr>
          <w:lang w:val="it-IT"/>
        </w:rPr>
        <w:t>idone</w:t>
      </w:r>
      <w:r w:rsidR="003F3896">
        <w:rPr>
          <w:lang w:val="it-IT"/>
        </w:rPr>
        <w:t>e commisurate</w:t>
      </w:r>
      <w:r w:rsidR="003F3896" w:rsidRPr="008E17FC">
        <w:rPr>
          <w:lang w:val="it-IT"/>
        </w:rPr>
        <w:t xml:space="preserve"> </w:t>
      </w:r>
      <w:r w:rsidR="00F87476">
        <w:rPr>
          <w:lang w:val="it-IT"/>
        </w:rPr>
        <w:t xml:space="preserve">alla </w:t>
      </w:r>
      <w:r w:rsidRPr="008E17FC">
        <w:rPr>
          <w:lang w:val="it-IT"/>
        </w:rPr>
        <w:t>dimensione territoriale.</w:t>
      </w:r>
      <w:r w:rsidR="00103DDF">
        <w:rPr>
          <w:lang w:val="it-IT"/>
        </w:rPr>
        <w:t xml:space="preserve"> </w:t>
      </w:r>
    </w:p>
    <w:p w14:paraId="2140CE82" w14:textId="77777777" w:rsidR="00710D54" w:rsidRDefault="008E17FC" w:rsidP="00455C4F">
      <w:pPr>
        <w:pStyle w:val="CorpoA"/>
        <w:spacing w:after="120"/>
        <w:ind w:firstLine="709"/>
        <w:jc w:val="both"/>
        <w:rPr>
          <w:lang w:val="it-IT"/>
        </w:rPr>
      </w:pPr>
      <w:r w:rsidRPr="008E17FC">
        <w:rPr>
          <w:lang w:val="it-IT"/>
        </w:rPr>
        <w:t>Il sisma del 6 aprile 2009 ha interessato</w:t>
      </w:r>
      <w:r w:rsidR="00710D54">
        <w:rPr>
          <w:lang w:val="it-IT"/>
        </w:rPr>
        <w:t xml:space="preserve">, come detto, </w:t>
      </w:r>
      <w:r w:rsidRPr="008E17FC">
        <w:rPr>
          <w:lang w:val="it-IT"/>
        </w:rPr>
        <w:t xml:space="preserve">un’ampia zona appenninica, con un importante </w:t>
      </w:r>
      <w:r w:rsidR="000309AC">
        <w:rPr>
          <w:lang w:val="it-IT"/>
        </w:rPr>
        <w:t xml:space="preserve">tessuto </w:t>
      </w:r>
      <w:r w:rsidRPr="008E17FC">
        <w:rPr>
          <w:lang w:val="it-IT"/>
        </w:rPr>
        <w:t>industriale</w:t>
      </w:r>
      <w:r w:rsidR="000309AC">
        <w:rPr>
          <w:lang w:val="it-IT"/>
        </w:rPr>
        <w:t>,</w:t>
      </w:r>
      <w:r w:rsidRPr="008E17FC">
        <w:rPr>
          <w:lang w:val="it-IT"/>
        </w:rPr>
        <w:t xml:space="preserve"> ma anche una significativa presenza rurale. Il sisma si è verificato in una congiuntura </w:t>
      </w:r>
      <w:r w:rsidR="000309AC">
        <w:rPr>
          <w:lang w:val="it-IT"/>
        </w:rPr>
        <w:t xml:space="preserve">temporale </w:t>
      </w:r>
      <w:r w:rsidRPr="008E17FC">
        <w:rPr>
          <w:lang w:val="it-IT"/>
        </w:rPr>
        <w:t>già di per sé difficile per l’economia locale e regionale.</w:t>
      </w:r>
      <w:r w:rsidR="00710D54">
        <w:rPr>
          <w:lang w:val="it-IT"/>
        </w:rPr>
        <w:t xml:space="preserve"> </w:t>
      </w:r>
      <w:r w:rsidRPr="008E17FC">
        <w:rPr>
          <w:lang w:val="it-IT"/>
        </w:rPr>
        <w:t>Il sistema produttivo dell‘area del sisma è basato principalmente sull</w:t>
      </w:r>
      <w:r w:rsidR="002818CE">
        <w:rPr>
          <w:lang w:val="it-IT"/>
        </w:rPr>
        <w:t>’</w:t>
      </w:r>
      <w:r w:rsidRPr="008E17FC">
        <w:rPr>
          <w:lang w:val="it-IT"/>
        </w:rPr>
        <w:t>edilizia e sul terziario. Il settore più consistente è quello del commercio</w:t>
      </w:r>
      <w:r w:rsidR="000309AC">
        <w:rPr>
          <w:lang w:val="it-IT"/>
        </w:rPr>
        <w:t>,</w:t>
      </w:r>
      <w:r w:rsidRPr="008E17FC">
        <w:rPr>
          <w:lang w:val="it-IT"/>
        </w:rPr>
        <w:t xml:space="preserve"> seguito dalle costruzioni. Nell’area epicentrale del terremoto, quella più prossima al Comune di L’Aquila, accanto ad importanti aziende manifatturiere, tra cui alcune multinazionali chimico-farmaceutiche con importanti quote di fatturato estero, coesistono imprese di piccole dimensioni operanti nel settore commerciale, artigianale, agricolo ed agroalimentare che rispondono soprattutto ad una maggiore domanda interna.</w:t>
      </w:r>
      <w:r w:rsidR="00710D54">
        <w:rPr>
          <w:lang w:val="it-IT"/>
        </w:rPr>
        <w:t xml:space="preserve"> </w:t>
      </w:r>
    </w:p>
    <w:p w14:paraId="4E3F10C4" w14:textId="77777777" w:rsidR="00434CDF" w:rsidRDefault="008E17FC" w:rsidP="00455C4F">
      <w:pPr>
        <w:pStyle w:val="CorpoA"/>
        <w:spacing w:after="120"/>
        <w:ind w:firstLine="709"/>
        <w:jc w:val="both"/>
        <w:rPr>
          <w:lang w:val="it-IT"/>
        </w:rPr>
      </w:pPr>
      <w:r w:rsidRPr="008E17FC">
        <w:rPr>
          <w:lang w:val="it-IT"/>
        </w:rPr>
        <w:t>Il Rapporto OCSE-</w:t>
      </w:r>
      <w:proofErr w:type="spellStart"/>
      <w:r w:rsidRPr="008E17FC">
        <w:rPr>
          <w:lang w:val="it-IT"/>
        </w:rPr>
        <w:t>Gröningen</w:t>
      </w:r>
      <w:proofErr w:type="spellEnd"/>
      <w:r w:rsidRPr="008E17FC">
        <w:rPr>
          <w:lang w:val="it-IT"/>
        </w:rPr>
        <w:t xml:space="preserve"> indica nello sviluppo delle attività a più elevata intensità di conoscenza la chiave per la ripresa post terremoto della crescita economica in Abruzzo, il che conferisce </w:t>
      </w:r>
      <w:r w:rsidR="000309AC">
        <w:rPr>
          <w:lang w:val="it-IT"/>
        </w:rPr>
        <w:t>u</w:t>
      </w:r>
      <w:r w:rsidRPr="008E17FC">
        <w:rPr>
          <w:lang w:val="it-IT"/>
        </w:rPr>
        <w:t xml:space="preserve">n ruolo centrale al sistema scolastico, alle università e agli altri centri di ricerca presenti nella regione. </w:t>
      </w:r>
      <w:r w:rsidR="00434CDF" w:rsidRPr="008E27D8">
        <w:rPr>
          <w:lang w:val="it-IT"/>
        </w:rPr>
        <w:t>Uno degli indicatori chiave a sostegno di questa linea strategica è l’insediamento di start-up innovative localizzate sul territorio. Attualmente il 90% delle start-up innovative (circa 13.000 in Italia - dati registroimprese.it) è localizzato nelle grandi aree metropolitane di Milano, Roma, Napoli), posizionando regioni come l’Abruzzo e l’Umbria in basso nella classifica del numero di imprese innovative ospitate nei propri territori. Altro indicatore chiave potrebbe essere costituito dallo sviluppo sul territorio di piattaforme o ecosistemi di “open innovation” che garantiscano non solo alle start-up, ma anche alle PMI, capacità di ricerca, risorse e accesso ad un network di competenze tecniche e di business a basso costo.</w:t>
      </w:r>
    </w:p>
    <w:p w14:paraId="64730A3D" w14:textId="77777777" w:rsidR="00665894" w:rsidRDefault="008E17FC" w:rsidP="00455C4F">
      <w:pPr>
        <w:pStyle w:val="CorpoA"/>
        <w:spacing w:after="120"/>
        <w:ind w:firstLine="709"/>
        <w:jc w:val="both"/>
        <w:rPr>
          <w:lang w:val="it-IT"/>
        </w:rPr>
      </w:pPr>
      <w:r w:rsidRPr="008E17FC">
        <w:rPr>
          <w:lang w:val="it-IT"/>
        </w:rPr>
        <w:t xml:space="preserve">L‘attività agricola resta un settore economico minoritario ma importantissimo: la produzione, la trasformazione e la vendita di derrate agricole rappresenta a tutti gli effetti un valore aggiunto importante, anche per la presenza di produzioni di qualità (DOC/DOP/IGT) nel settore cerealicolo, vinicolo e zootecnico che accrescono l‘attrattività dei territori del </w:t>
      </w:r>
      <w:r w:rsidR="00C278F7">
        <w:rPr>
          <w:lang w:val="it-IT"/>
        </w:rPr>
        <w:t>C</w:t>
      </w:r>
      <w:r w:rsidR="00C278F7" w:rsidRPr="008E17FC">
        <w:rPr>
          <w:lang w:val="it-IT"/>
        </w:rPr>
        <w:t>ratere</w:t>
      </w:r>
      <w:r w:rsidR="00CB1925">
        <w:rPr>
          <w:lang w:val="it-IT"/>
        </w:rPr>
        <w:t xml:space="preserve"> 2009</w:t>
      </w:r>
      <w:r w:rsidRPr="008E17FC">
        <w:rPr>
          <w:lang w:val="it-IT"/>
        </w:rPr>
        <w:t>.</w:t>
      </w:r>
    </w:p>
    <w:p w14:paraId="2C5CBA9A" w14:textId="77777777" w:rsidR="0091496C" w:rsidRDefault="008E17FC" w:rsidP="00455C4F">
      <w:pPr>
        <w:pStyle w:val="CorpoA"/>
        <w:spacing w:after="120"/>
        <w:ind w:firstLine="709"/>
        <w:jc w:val="both"/>
        <w:rPr>
          <w:lang w:val="it-IT"/>
        </w:rPr>
      </w:pPr>
      <w:r w:rsidRPr="008E17FC">
        <w:rPr>
          <w:lang w:val="it-IT"/>
        </w:rPr>
        <w:t>Al margine di attività tipicamente agricole, infatti, si è sviluppata negli ultimi anni una economia turistica rurale (agriturismo), che si integra validamente con le forme più tradizionali e praticate di turismo (montano, culturale, naturalistico).</w:t>
      </w:r>
      <w:r w:rsidR="000255D4">
        <w:rPr>
          <w:lang w:val="it-IT"/>
        </w:rPr>
        <w:t xml:space="preserve"> </w:t>
      </w:r>
      <w:r w:rsidRPr="008E17FC">
        <w:rPr>
          <w:lang w:val="it-IT"/>
        </w:rPr>
        <w:t xml:space="preserve">L’agroalimentare è un elemento strategico di sviluppo economico e sociale. </w:t>
      </w:r>
    </w:p>
    <w:p w14:paraId="7C6F63C2" w14:textId="77777777" w:rsidR="0052098F" w:rsidRDefault="008E17FC" w:rsidP="00455C4F">
      <w:pPr>
        <w:pStyle w:val="CorpoA"/>
        <w:spacing w:after="120"/>
        <w:ind w:firstLine="709"/>
        <w:jc w:val="both"/>
        <w:rPr>
          <w:lang w:val="it-IT"/>
        </w:rPr>
      </w:pPr>
      <w:r w:rsidRPr="008E17FC">
        <w:rPr>
          <w:lang w:val="it-IT"/>
        </w:rPr>
        <w:t xml:space="preserve">La sua importanza deriva dal fatto che rappresenta un fattore di unicità, ed è anche (potenzialmente) uno strumento importante per “raccontare” e far conoscere all’esterno il territorio e </w:t>
      </w:r>
      <w:r w:rsidRPr="008E17FC">
        <w:rPr>
          <w:lang w:val="it-IT"/>
        </w:rPr>
        <w:lastRenderedPageBreak/>
        <w:t>la sua integrità, e costituisce un’opportunità di impresa e di lavoro</w:t>
      </w:r>
      <w:r w:rsidR="00910FE0">
        <w:rPr>
          <w:rStyle w:val="Rimandonotaapidipagina"/>
          <w:lang w:val="it-IT"/>
        </w:rPr>
        <w:footnoteReference w:id="10"/>
      </w:r>
      <w:r w:rsidRPr="008E17FC">
        <w:rPr>
          <w:lang w:val="it-IT"/>
        </w:rPr>
        <w:t>.</w:t>
      </w:r>
      <w:r>
        <w:rPr>
          <w:lang w:val="it-IT"/>
        </w:rPr>
        <w:t xml:space="preserve"> </w:t>
      </w:r>
      <w:r w:rsidRPr="008E17FC">
        <w:rPr>
          <w:lang w:val="it-IT"/>
        </w:rPr>
        <w:t>Esistono notevoli potenzialità, in vari casi riconosciute a livello internazionale (oltre alla DOP sono svariati i presidi Slow Food del territorio), ma ne va valorizzata la competitività su un mercato di prodotti di qualità, da proteggere dalla concorrenza dei prodotti di massa.</w:t>
      </w:r>
      <w:r w:rsidR="00024A3A" w:rsidRPr="00024A3A">
        <w:rPr>
          <w:lang w:val="it-IT"/>
        </w:rPr>
        <w:t xml:space="preserve"> </w:t>
      </w:r>
      <w:r w:rsidR="00024A3A">
        <w:rPr>
          <w:lang w:val="it-IT"/>
        </w:rPr>
        <w:t>Per entrambi i crateri, l</w:t>
      </w:r>
      <w:r w:rsidR="00024A3A" w:rsidRPr="008E17FC">
        <w:rPr>
          <w:lang w:val="it-IT"/>
        </w:rPr>
        <w:t>e produzioni locali di qualità possono realizzare un valore aggiunto anche dell’offerta turistica.</w:t>
      </w:r>
    </w:p>
    <w:p w14:paraId="5853040F" w14:textId="77777777" w:rsidR="00307256" w:rsidRPr="008E17FC" w:rsidRDefault="00307256" w:rsidP="00991BB1">
      <w:pPr>
        <w:pStyle w:val="CorpoA"/>
        <w:spacing w:after="120"/>
        <w:ind w:firstLine="708"/>
        <w:jc w:val="both"/>
        <w:rPr>
          <w:lang w:val="it-IT"/>
        </w:rPr>
      </w:pPr>
    </w:p>
    <w:p w14:paraId="03CF9396" w14:textId="77777777" w:rsidR="00307256" w:rsidRDefault="00991BB1" w:rsidP="00B7528E">
      <w:pPr>
        <w:pStyle w:val="CorpoA"/>
        <w:ind w:firstLine="709"/>
        <w:jc w:val="both"/>
        <w:rPr>
          <w:b/>
          <w:bCs/>
          <w:i/>
          <w:color w:val="4472C4" w:themeColor="accent1"/>
          <w:lang w:val="it-IT"/>
        </w:rPr>
      </w:pPr>
      <w:r>
        <w:rPr>
          <w:b/>
          <w:bCs/>
          <w:i/>
          <w:color w:val="4472C4" w:themeColor="accent1"/>
          <w:lang w:val="it-IT"/>
        </w:rPr>
        <w:t>2</w:t>
      </w:r>
      <w:r w:rsidR="005C650A" w:rsidRPr="00024A3A">
        <w:rPr>
          <w:b/>
          <w:bCs/>
          <w:i/>
          <w:color w:val="4472C4" w:themeColor="accent1"/>
          <w:lang w:val="it-IT"/>
        </w:rPr>
        <w:t>.</w:t>
      </w:r>
      <w:r w:rsidR="00307256" w:rsidRPr="00024A3A">
        <w:rPr>
          <w:b/>
          <w:bCs/>
          <w:i/>
          <w:color w:val="4472C4" w:themeColor="accent1"/>
          <w:lang w:val="it-IT"/>
        </w:rPr>
        <w:t xml:space="preserve">3 </w:t>
      </w:r>
      <w:r w:rsidR="0000525B" w:rsidRPr="00024A3A">
        <w:rPr>
          <w:b/>
          <w:bCs/>
          <w:i/>
          <w:color w:val="4472C4" w:themeColor="accent1"/>
          <w:lang w:val="it-IT"/>
        </w:rPr>
        <w:t xml:space="preserve">Le </w:t>
      </w:r>
      <w:r w:rsidR="00CF1B93" w:rsidRPr="00024A3A">
        <w:rPr>
          <w:b/>
          <w:bCs/>
          <w:i/>
          <w:color w:val="4472C4" w:themeColor="accent1"/>
          <w:lang w:val="it-IT"/>
        </w:rPr>
        <w:t>caratteristiche</w:t>
      </w:r>
      <w:r w:rsidR="0000525B" w:rsidRPr="00024A3A">
        <w:rPr>
          <w:b/>
          <w:bCs/>
          <w:i/>
          <w:color w:val="4472C4" w:themeColor="accent1"/>
          <w:lang w:val="it-IT"/>
        </w:rPr>
        <w:t xml:space="preserve"> comuni dei territori dei crateri dei terremoti 2009 e 2016</w:t>
      </w:r>
    </w:p>
    <w:p w14:paraId="4D5D96B1" w14:textId="77777777" w:rsidR="00B7528E" w:rsidRPr="00B7528E" w:rsidRDefault="00B7528E" w:rsidP="00B7528E">
      <w:pPr>
        <w:pStyle w:val="CorpoA"/>
        <w:spacing w:after="120"/>
        <w:ind w:firstLine="708"/>
        <w:jc w:val="both"/>
        <w:rPr>
          <w:b/>
          <w:bCs/>
          <w:i/>
          <w:color w:val="4472C4" w:themeColor="accent1"/>
          <w:lang w:val="it-IT"/>
        </w:rPr>
      </w:pPr>
    </w:p>
    <w:p w14:paraId="1A6ADCCB" w14:textId="77777777" w:rsidR="00C278F7" w:rsidRDefault="00A21A42" w:rsidP="00B7528E">
      <w:pPr>
        <w:pStyle w:val="CorpoA"/>
        <w:spacing w:after="120"/>
        <w:ind w:firstLine="709"/>
        <w:jc w:val="both"/>
        <w:rPr>
          <w:lang w:val="it-IT"/>
        </w:rPr>
      </w:pPr>
      <w:r>
        <w:rPr>
          <w:lang w:val="it-IT"/>
        </w:rPr>
        <w:t>La</w:t>
      </w:r>
      <w:r w:rsidR="008E17FC">
        <w:rPr>
          <w:lang w:val="it-IT"/>
        </w:rPr>
        <w:t xml:space="preserve"> comune</w:t>
      </w:r>
      <w:r w:rsidR="00C278F7">
        <w:rPr>
          <w:lang w:val="it-IT"/>
        </w:rPr>
        <w:t>,</w:t>
      </w:r>
      <w:r w:rsidR="008E17FC">
        <w:rPr>
          <w:lang w:val="it-IT"/>
        </w:rPr>
        <w:t xml:space="preserve"> ed al tempo stesso peculiare</w:t>
      </w:r>
      <w:r w:rsidR="00C278F7">
        <w:rPr>
          <w:lang w:val="it-IT"/>
        </w:rPr>
        <w:t>,</w:t>
      </w:r>
      <w:r>
        <w:rPr>
          <w:lang w:val="it-IT"/>
        </w:rPr>
        <w:t xml:space="preserve"> ricchezza del patrimonio ambientale e paesaggistico dell’area </w:t>
      </w:r>
      <w:r w:rsidR="009633A4">
        <w:rPr>
          <w:lang w:val="it-IT"/>
        </w:rPr>
        <w:t xml:space="preserve">considerata </w:t>
      </w:r>
      <w:r w:rsidR="008E17FC">
        <w:rPr>
          <w:lang w:val="it-IT"/>
        </w:rPr>
        <w:t>(aree dei sismi 2009 e 2016</w:t>
      </w:r>
      <w:r w:rsidR="00E00252">
        <w:rPr>
          <w:lang w:val="it-IT"/>
        </w:rPr>
        <w:t xml:space="preserve"> </w:t>
      </w:r>
      <w:r w:rsidR="002E7CF6">
        <w:rPr>
          <w:lang w:val="it-IT"/>
        </w:rPr>
        <w:t>dell’Appennino</w:t>
      </w:r>
      <w:r w:rsidR="00E00252">
        <w:rPr>
          <w:lang w:val="it-IT"/>
        </w:rPr>
        <w:t xml:space="preserve"> centrale</w:t>
      </w:r>
      <w:r w:rsidR="008E17FC">
        <w:rPr>
          <w:lang w:val="it-IT"/>
        </w:rPr>
        <w:t xml:space="preserve">) </w:t>
      </w:r>
      <w:r>
        <w:rPr>
          <w:lang w:val="it-IT"/>
        </w:rPr>
        <w:t>si manifesta nella presenza di una significativa porzione di territorio interessata da aree di valore naturalistico-ambientale formalmente riconosciuto, ovvero aree protett</w:t>
      </w:r>
      <w:r w:rsidR="009911F5">
        <w:rPr>
          <w:lang w:val="it-IT"/>
        </w:rPr>
        <w:t>e</w:t>
      </w:r>
      <w:r>
        <w:rPr>
          <w:lang w:val="it-IT"/>
        </w:rPr>
        <w:t xml:space="preserve"> e siti della Rete Natura 2000. Più specificatamente, l’area si caratterizza per la presenza di 2 Parchi Nazionali, 6 Riserve Naturali e 3 parchi fluviali.</w:t>
      </w:r>
      <w:r w:rsidRPr="00321417">
        <w:rPr>
          <w:lang w:val="it-IT"/>
        </w:rPr>
        <w:t xml:space="preserve"> </w:t>
      </w:r>
    </w:p>
    <w:p w14:paraId="10A51F15" w14:textId="77777777" w:rsidR="00665894" w:rsidRDefault="00A21A42" w:rsidP="00455C4F">
      <w:pPr>
        <w:pStyle w:val="CorpoA"/>
        <w:spacing w:after="120"/>
        <w:ind w:firstLine="708"/>
        <w:jc w:val="both"/>
        <w:rPr>
          <w:lang w:val="it-IT"/>
        </w:rPr>
      </w:pPr>
      <w:r>
        <w:rPr>
          <w:lang w:val="it-IT"/>
        </w:rPr>
        <w:t>Molti e rilevantissimi sono i beni storico culturali presenti.  Il sistema insediativo è fortemente diffuso su tutto il territorio de</w:t>
      </w:r>
      <w:r w:rsidR="009526D7">
        <w:rPr>
          <w:lang w:val="it-IT"/>
        </w:rPr>
        <w:t>i due</w:t>
      </w:r>
      <w:r>
        <w:rPr>
          <w:lang w:val="it-IT"/>
        </w:rPr>
        <w:t xml:space="preserve"> crater</w:t>
      </w:r>
      <w:r w:rsidR="009526D7">
        <w:rPr>
          <w:lang w:val="it-IT"/>
        </w:rPr>
        <w:t>i</w:t>
      </w:r>
      <w:r>
        <w:rPr>
          <w:lang w:val="it-IT"/>
        </w:rPr>
        <w:t>, con alcuni centri urbani più grandi e compatti</w:t>
      </w:r>
      <w:r w:rsidR="00902AC9">
        <w:rPr>
          <w:lang w:val="it-IT"/>
        </w:rPr>
        <w:t xml:space="preserve"> </w:t>
      </w:r>
      <w:r>
        <w:rPr>
          <w:lang w:val="it-IT"/>
        </w:rPr>
        <w:t xml:space="preserve">e con gli insediamenti medi e minori che penetrano all’interno, posizionandosi a corona intorno ai grandi parchi naturali che compongono il cuore centrale dell’area, e rarefacendosi poi all’interno di questi in direzione dei rilievi maggiori. </w:t>
      </w:r>
    </w:p>
    <w:p w14:paraId="29A6191C" w14:textId="77777777" w:rsidR="00A21A42" w:rsidRPr="00321417" w:rsidRDefault="00A21A42" w:rsidP="00455C4F">
      <w:pPr>
        <w:pStyle w:val="CorpoA"/>
        <w:spacing w:after="120"/>
        <w:ind w:firstLine="708"/>
        <w:jc w:val="both"/>
        <w:rPr>
          <w:lang w:val="it-IT"/>
        </w:rPr>
      </w:pPr>
      <w:r>
        <w:rPr>
          <w:lang w:val="it-IT"/>
        </w:rPr>
        <w:t xml:space="preserve">Lo schema ricorrente, già riconoscibile alla scala regionale, ma ancor più evidente scendendo a un livello provinciale, intercomunale o comunale, è quello del “grappolo insediativo”, che a partire da un centro urbano più compatto e consistente si irradia poi sul territorio attraverso una serie di insediamenti minori, sempre più piccoli man mano che si allontanano dal centro più importante. </w:t>
      </w:r>
    </w:p>
    <w:p w14:paraId="641E0EA7" w14:textId="77777777" w:rsidR="00B86B53" w:rsidRDefault="0021661D" w:rsidP="00455C4F">
      <w:pPr>
        <w:pStyle w:val="CorpoA"/>
        <w:spacing w:after="120"/>
        <w:ind w:firstLine="708"/>
        <w:jc w:val="both"/>
        <w:rPr>
          <w:lang w:val="it-IT"/>
        </w:rPr>
      </w:pPr>
      <w:r w:rsidRPr="00C07123">
        <w:rPr>
          <w:color w:val="auto"/>
          <w:lang w:val="it-IT"/>
        </w:rPr>
        <w:t xml:space="preserve">Il territorio dei due crateri, proprio perché caratterizzato dalle necessità imposte dalla presenza degli Appennini, è stato, in età antica, un territorio di passaggio, tra Adriatico e Tirreno, tra Nord e Sud e, in particolare in età romana, tra Roma e l’Italia centro settentrionale. </w:t>
      </w:r>
      <w:r w:rsidR="00A21A42">
        <w:rPr>
          <w:lang w:val="it-IT"/>
        </w:rPr>
        <w:t xml:space="preserve">Inoltre, la gran parte dei centri abitati ha origini antiche, con un impianto urbano e un patrimonio architettonico ancora ben riconoscibili, spesso medievali, al netto delle espansioni più recenti. Si tratta infatti di un sistema di borghi storicamente e culturalmente molto significativi, non solo per il centro Italia ma per tutto il paese, profondamente e indissolubilmente inseriti nel paesaggio, a cui conferiscono un inconfondibile valore e carattere identitario. </w:t>
      </w:r>
    </w:p>
    <w:p w14:paraId="70250172" w14:textId="77777777" w:rsidR="00B86B53" w:rsidRDefault="00A21A42" w:rsidP="00455C4F">
      <w:pPr>
        <w:pStyle w:val="CorpoA"/>
        <w:spacing w:after="120"/>
        <w:ind w:firstLine="708"/>
        <w:jc w:val="both"/>
        <w:rPr>
          <w:lang w:val="it-IT"/>
        </w:rPr>
      </w:pPr>
      <w:r>
        <w:rPr>
          <w:lang w:val="it-IT"/>
        </w:rPr>
        <w:t>L’ambiente circostante, sebbene possa spesso sembrare di tipo naturale o semi-naturale, è in effetti composto da paesaggi culturali plasmati soprattutto dall’incessante opera umana, indissolubilmente caratterizzati dalla presenza dei borghi stessi, ed evoluti nei secoli attraverso una continua e feconda relazione tra dinamiche naturali e attività antropiche, che si è indebolita soltanto in epoca recente.</w:t>
      </w:r>
      <w:r w:rsidR="00B86B53">
        <w:rPr>
          <w:lang w:val="it-IT"/>
        </w:rPr>
        <w:t xml:space="preserve"> </w:t>
      </w:r>
      <w:r>
        <w:rPr>
          <w:lang w:val="it-IT"/>
        </w:rPr>
        <w:t>Per quanto riguarda invece le urbanizzazioni più recenti (a partire circa dalla seconda metà del XX secolo), è evidente lo scivolamento a valle e la netta separazione che si è spesso creata rispetto ai tipici borghi di crinale. Per di più, a parte rari casi eccezionali</w:t>
      </w:r>
      <w:r w:rsidR="006A48CB">
        <w:rPr>
          <w:lang w:val="it-IT"/>
        </w:rPr>
        <w:t>,</w:t>
      </w:r>
      <w:r>
        <w:rPr>
          <w:lang w:val="it-IT"/>
        </w:rPr>
        <w:t xml:space="preserve"> pianificati con una certa consapevolezza, le moderne espansioni urbane sono avvenute in maniera assolutamente improvvida e randomica, e il nuovo urbanizzato risulta spesso disconnesso rispetto al contesto e fortemente zonizzato in aree industriali o artigianali da un lato, e zone residenziali dall’altro, trasformando profondamente, in alcuni casi compromettendo irrimediabilmente, l’</w:t>
      </w:r>
      <w:r w:rsidR="00910FE0" w:rsidRPr="00173D0B">
        <w:rPr>
          <w:lang w:val="it-IT"/>
        </w:rPr>
        <w:t>identità</w:t>
      </w:r>
      <w:r>
        <w:rPr>
          <w:lang w:val="it-IT"/>
        </w:rPr>
        <w:t xml:space="preserve"> storico-culturale di alcuni luoghi e paesaggi.</w:t>
      </w:r>
    </w:p>
    <w:p w14:paraId="56B55804" w14:textId="77777777" w:rsidR="00A21A42" w:rsidRDefault="00B86B53" w:rsidP="00455C4F">
      <w:pPr>
        <w:pStyle w:val="CorpoA"/>
        <w:spacing w:after="120"/>
        <w:jc w:val="both"/>
        <w:rPr>
          <w:lang w:val="it-IT"/>
        </w:rPr>
      </w:pPr>
      <w:r>
        <w:rPr>
          <w:lang w:val="it-IT"/>
        </w:rPr>
        <w:tab/>
      </w:r>
      <w:r w:rsidR="00A21A42">
        <w:rPr>
          <w:lang w:val="it-IT"/>
        </w:rPr>
        <w:t>Il sistema infrastrutturale che serve e sostiene le aree insediate è prevalentemente su gomma e si dirama in modo penetrante e capillare verso l’interno de</w:t>
      </w:r>
      <w:r w:rsidR="00CB1925">
        <w:rPr>
          <w:lang w:val="it-IT"/>
        </w:rPr>
        <w:t>i due</w:t>
      </w:r>
      <w:r w:rsidR="00A21A42">
        <w:rPr>
          <w:lang w:val="it-IT"/>
        </w:rPr>
        <w:t xml:space="preserve"> crater</w:t>
      </w:r>
      <w:r w:rsidR="00CB1925">
        <w:rPr>
          <w:lang w:val="it-IT"/>
        </w:rPr>
        <w:t>i sismici</w:t>
      </w:r>
      <w:r w:rsidR="00A21A42">
        <w:rPr>
          <w:lang w:val="it-IT"/>
        </w:rPr>
        <w:t xml:space="preserve">, in maniera analoga e corrispondente alla diffusione dei centri abitati. La rete di infrastrutture che attraversano il territorio </w:t>
      </w:r>
      <w:r w:rsidR="00A21A42">
        <w:rPr>
          <w:lang w:val="it-IT"/>
        </w:rPr>
        <w:lastRenderedPageBreak/>
        <w:t xml:space="preserve">è perciò composta in prevalenza da una fitta trama di strade principali e secondarie, più altri percorsi carrabili minori, fortemente incisi nel paesaggio. Ricalcando l’evoluzione storica dei centri abitati, la maggior parte delle vie di transito e comunicazione tra un centro e l’altro risale a molti secoli fa e ha un andamento </w:t>
      </w:r>
      <w:r w:rsidR="00E100A9">
        <w:rPr>
          <w:lang w:val="it-IT"/>
        </w:rPr>
        <w:t>tortuoso</w:t>
      </w:r>
      <w:r w:rsidR="00A21A42">
        <w:rPr>
          <w:lang w:val="it-IT"/>
        </w:rPr>
        <w:t xml:space="preserve">, </w:t>
      </w:r>
      <w:r w:rsidR="00313293">
        <w:rPr>
          <w:lang w:val="it-IT"/>
        </w:rPr>
        <w:t>dettato</w:t>
      </w:r>
      <w:r w:rsidR="00A21A42">
        <w:rPr>
          <w:lang w:val="it-IT"/>
        </w:rPr>
        <w:t xml:space="preserve"> </w:t>
      </w:r>
      <w:r w:rsidR="00313293">
        <w:rPr>
          <w:lang w:val="it-IT"/>
        </w:rPr>
        <w:t>dal</w:t>
      </w:r>
      <w:r w:rsidR="00A21A42">
        <w:rPr>
          <w:lang w:val="it-IT"/>
        </w:rPr>
        <w:t xml:space="preserve">la geomorfologia del territorio, adattandosi al carattere aspro e variegato dell’orografia dei luoghi. </w:t>
      </w:r>
    </w:p>
    <w:p w14:paraId="05FE76FC" w14:textId="77777777" w:rsidR="00C826BF" w:rsidRDefault="001544F1" w:rsidP="00455C4F">
      <w:pPr>
        <w:pStyle w:val="CorpoA"/>
        <w:spacing w:after="120"/>
        <w:jc w:val="both"/>
        <w:rPr>
          <w:lang w:val="it-IT"/>
        </w:rPr>
      </w:pPr>
      <w:r>
        <w:rPr>
          <w:lang w:val="it-IT"/>
        </w:rPr>
        <w:tab/>
      </w:r>
      <w:r w:rsidR="00A21A42">
        <w:rPr>
          <w:lang w:val="it-IT"/>
        </w:rPr>
        <w:t xml:space="preserve">Le arterie di comunicazione a scorrimento veloce, più ampie e recenti, sono poche e facilmente riconoscibili, caratterizzate da un andamento rettilineo e da un’ampiezza stradale maggiore rispetto a quella degli altri tracciati stradali, che sono quasi sempre a una corsia per senso di marcia e hanno una larghezza generalmente contenuta, sia che si tratti di strade statali, provinciali o comunali. La maggior parte delle vie a scorrimento veloce sono localizzate ai margini dell’area di studio, ad eccezione </w:t>
      </w:r>
      <w:r>
        <w:rPr>
          <w:lang w:val="it-IT"/>
        </w:rPr>
        <w:t>dell’Autostrada A24 (Teramo – Roma) che interseca</w:t>
      </w:r>
      <w:r w:rsidR="00C826BF">
        <w:rPr>
          <w:lang w:val="it-IT"/>
        </w:rPr>
        <w:t xml:space="preserve"> in pieno</w:t>
      </w:r>
      <w:r>
        <w:rPr>
          <w:lang w:val="it-IT"/>
        </w:rPr>
        <w:t xml:space="preserve"> l’area del </w:t>
      </w:r>
      <w:r w:rsidR="00593B08">
        <w:rPr>
          <w:lang w:val="it-IT"/>
        </w:rPr>
        <w:t>c</w:t>
      </w:r>
      <w:r w:rsidR="005D5F8F">
        <w:rPr>
          <w:lang w:val="it-IT"/>
        </w:rPr>
        <w:t xml:space="preserve">ratere </w:t>
      </w:r>
      <w:r>
        <w:rPr>
          <w:lang w:val="it-IT"/>
        </w:rPr>
        <w:t>2009</w:t>
      </w:r>
      <w:r w:rsidR="004844E6">
        <w:rPr>
          <w:lang w:val="it-IT"/>
        </w:rPr>
        <w:t xml:space="preserve">, </w:t>
      </w:r>
      <w:r w:rsidR="00A21A42">
        <w:rPr>
          <w:lang w:val="it-IT"/>
        </w:rPr>
        <w:t xml:space="preserve">della superstrada Civitanova-Foligno (SS77), che attraversa trasversalmente l’Appennino ed è parte del sistema di infrastrutture </w:t>
      </w:r>
      <w:r w:rsidR="0021661D">
        <w:rPr>
          <w:lang w:val="it-IT"/>
        </w:rPr>
        <w:t xml:space="preserve">stradali ad alto scorrimento </w:t>
      </w:r>
      <w:r w:rsidR="00A21A42">
        <w:rPr>
          <w:lang w:val="it-IT"/>
        </w:rPr>
        <w:t>in attuale fase di completamento con la pedemontana Fabriano-Muccia. La rete ferroviaria è invece presente in modo molto marginale, quasi irrilevante per la maggior parte dell’area de</w:t>
      </w:r>
      <w:r w:rsidR="00CB1925">
        <w:rPr>
          <w:lang w:val="it-IT"/>
        </w:rPr>
        <w:t>i due crateri</w:t>
      </w:r>
      <w:r w:rsidR="00A21A42">
        <w:rPr>
          <w:lang w:val="it-IT"/>
        </w:rPr>
        <w:t>, non essendo presenti collegamenti interni di questo tipo</w:t>
      </w:r>
      <w:r w:rsidR="00313293">
        <w:rPr>
          <w:lang w:val="it-IT"/>
        </w:rPr>
        <w:t>,</w:t>
      </w:r>
      <w:r w:rsidR="00A21A42">
        <w:rPr>
          <w:lang w:val="it-IT"/>
        </w:rPr>
        <w:t xml:space="preserve"> se non parzialmente</w:t>
      </w:r>
      <w:r w:rsidR="00313293">
        <w:rPr>
          <w:lang w:val="it-IT"/>
        </w:rPr>
        <w:t xml:space="preserve"> ed escludendo i vecchi tracciati</w:t>
      </w:r>
      <w:r w:rsidR="00A21A42">
        <w:rPr>
          <w:lang w:val="it-IT"/>
        </w:rPr>
        <w:t xml:space="preserve">, </w:t>
      </w:r>
      <w:r w:rsidR="0000525B">
        <w:rPr>
          <w:lang w:val="it-IT"/>
        </w:rPr>
        <w:t xml:space="preserve">per il territorio del </w:t>
      </w:r>
      <w:r w:rsidR="005D5F8F">
        <w:rPr>
          <w:lang w:val="it-IT"/>
        </w:rPr>
        <w:t xml:space="preserve">Cratere </w:t>
      </w:r>
      <w:r w:rsidR="00C826BF">
        <w:rPr>
          <w:lang w:val="it-IT"/>
        </w:rPr>
        <w:t>2016</w:t>
      </w:r>
      <w:r w:rsidR="00A21A42">
        <w:rPr>
          <w:lang w:val="it-IT"/>
        </w:rPr>
        <w:t>, con il tratto Fabriano-Macerata-Civitanova</w:t>
      </w:r>
      <w:r w:rsidR="00CB1925">
        <w:rPr>
          <w:lang w:val="it-IT"/>
        </w:rPr>
        <w:t xml:space="preserve">, </w:t>
      </w:r>
      <w:r w:rsidR="0000525B">
        <w:rPr>
          <w:lang w:val="it-IT"/>
        </w:rPr>
        <w:t>con la Orte</w:t>
      </w:r>
      <w:r w:rsidR="005D5F8F">
        <w:rPr>
          <w:lang w:val="it-IT"/>
        </w:rPr>
        <w:t>-</w:t>
      </w:r>
      <w:r w:rsidR="0000525B">
        <w:rPr>
          <w:lang w:val="it-IT"/>
        </w:rPr>
        <w:t>Ancona</w:t>
      </w:r>
      <w:r w:rsidR="00CB1925">
        <w:rPr>
          <w:lang w:val="it-IT"/>
        </w:rPr>
        <w:t xml:space="preserve"> e per il territorio del Cratere 2009 con la tratta Sulmona - L’Aquila - Rieti</w:t>
      </w:r>
      <w:r w:rsidR="00A21A42">
        <w:rPr>
          <w:lang w:val="it-IT"/>
        </w:rPr>
        <w:t>.</w:t>
      </w:r>
    </w:p>
    <w:p w14:paraId="0E2759BF" w14:textId="77777777" w:rsidR="008E35E5" w:rsidRDefault="00C826BF" w:rsidP="00455C4F">
      <w:pPr>
        <w:pStyle w:val="CorpoA"/>
        <w:spacing w:after="120"/>
        <w:jc w:val="both"/>
        <w:rPr>
          <w:lang w:val="it-IT"/>
        </w:rPr>
      </w:pPr>
      <w:r>
        <w:rPr>
          <w:lang w:val="it-IT"/>
        </w:rPr>
        <w:tab/>
      </w:r>
      <w:r w:rsidR="009633A4" w:rsidRPr="00932AE5">
        <w:rPr>
          <w:color w:val="auto"/>
          <w:lang w:val="it-IT"/>
        </w:rPr>
        <w:t>Il terremoto del 2009 e la</w:t>
      </w:r>
      <w:r w:rsidR="00A21A42" w:rsidRPr="00932AE5">
        <w:rPr>
          <w:color w:val="auto"/>
          <w:lang w:val="it-IT"/>
        </w:rPr>
        <w:t xml:space="preserve"> sequenza sismica del Centro Italia 2016-17 ha</w:t>
      </w:r>
      <w:r w:rsidR="009633A4" w:rsidRPr="00932AE5">
        <w:rPr>
          <w:color w:val="auto"/>
          <w:lang w:val="it-IT"/>
        </w:rPr>
        <w:t>nno</w:t>
      </w:r>
      <w:r w:rsidR="00A21A42" w:rsidRPr="00932AE5">
        <w:rPr>
          <w:color w:val="auto"/>
          <w:lang w:val="it-IT"/>
        </w:rPr>
        <w:t xml:space="preserve"> messo in luce la vulnerabilità del sistema insediativo e infrastrutturale locale. La vulnerabilità del territorio è legata alle particolari caratteristiche morfologiche proprie di un’area montuosa, che vede percorsi stradali in condizioni non sempre agevoli per il raggiungimento di piccoli villaggi e centri abitati dislocati in maniera dispersa sul territorio</w:t>
      </w:r>
      <w:r w:rsidR="00A21A42" w:rsidRPr="00932AE5">
        <w:rPr>
          <w:strike/>
          <w:color w:val="auto"/>
          <w:lang w:val="it-IT"/>
        </w:rPr>
        <w:t>.</w:t>
      </w:r>
      <w:r w:rsidR="00A21A42" w:rsidRPr="00932AE5">
        <w:rPr>
          <w:color w:val="auto"/>
          <w:lang w:val="it-IT"/>
        </w:rPr>
        <w:t xml:space="preserve"> </w:t>
      </w:r>
      <w:r w:rsidR="00A21A42">
        <w:rPr>
          <w:lang w:val="it-IT"/>
        </w:rPr>
        <w:t xml:space="preserve">Il susseguirsi di eventi di carattere naturale va ad impattare sulla funzionalità di infrastrutture stradali, sia di interesse locale che di connessione tra la costa adriatica e quella tirrenica, spesso non accompagnate da un percorso alternativo. </w:t>
      </w:r>
    </w:p>
    <w:p w14:paraId="16AAB0B5" w14:textId="77777777" w:rsidR="00024A3A" w:rsidRDefault="008E35E5" w:rsidP="00455C4F">
      <w:pPr>
        <w:pStyle w:val="CorpoA"/>
        <w:spacing w:after="120"/>
        <w:jc w:val="both"/>
        <w:rPr>
          <w:lang w:val="it-IT"/>
        </w:rPr>
      </w:pPr>
      <w:r>
        <w:rPr>
          <w:lang w:val="it-IT"/>
        </w:rPr>
        <w:tab/>
      </w:r>
      <w:r w:rsidR="00A21A42">
        <w:rPr>
          <w:lang w:val="it-IT"/>
        </w:rPr>
        <w:t>I principali dissesti delle infrastrutture viarie riguardano l’apertura di fessure sul manto stradale, cedimenti</w:t>
      </w:r>
      <w:r w:rsidR="00313293">
        <w:rPr>
          <w:lang w:val="it-IT"/>
        </w:rPr>
        <w:t xml:space="preserve"> differenziali</w:t>
      </w:r>
      <w:r w:rsidR="00A21A42">
        <w:rPr>
          <w:lang w:val="it-IT"/>
        </w:rPr>
        <w:t xml:space="preserve"> e deformazioni orizzontali</w:t>
      </w:r>
      <w:r w:rsidR="00073376">
        <w:rPr>
          <w:lang w:val="it-IT"/>
        </w:rPr>
        <w:t xml:space="preserve">, in particolare </w:t>
      </w:r>
      <w:r w:rsidR="00313293">
        <w:rPr>
          <w:lang w:val="it-IT"/>
        </w:rPr>
        <w:t xml:space="preserve">per </w:t>
      </w:r>
      <w:r w:rsidR="00073376">
        <w:rPr>
          <w:lang w:val="it-IT"/>
        </w:rPr>
        <w:t>viadotti</w:t>
      </w:r>
      <w:r w:rsidR="00A21A42">
        <w:rPr>
          <w:lang w:val="it-IT"/>
        </w:rPr>
        <w:t>. Questi effetti sono associati ai fenomeni di instabilità che hanno coinvolto i versanti in frana e le opere di sostegno.</w:t>
      </w:r>
    </w:p>
    <w:p w14:paraId="2D49CBB3" w14:textId="77777777" w:rsidR="00C305EC" w:rsidRDefault="00E33E46" w:rsidP="00455C4F">
      <w:pPr>
        <w:pStyle w:val="CorpoA"/>
        <w:spacing w:after="120"/>
        <w:jc w:val="both"/>
        <w:rPr>
          <w:strike/>
          <w:color w:val="FF0000"/>
          <w:lang w:val="it-IT"/>
        </w:rPr>
      </w:pPr>
      <w:r>
        <w:rPr>
          <w:lang w:val="it-IT"/>
        </w:rPr>
        <w:t xml:space="preserve"> </w:t>
      </w:r>
      <w:r w:rsidR="00C826BF">
        <w:rPr>
          <w:lang w:val="it-IT"/>
        </w:rPr>
        <w:tab/>
      </w:r>
      <w:r w:rsidR="00A21A42">
        <w:rPr>
          <w:lang w:val="it-IT"/>
        </w:rPr>
        <w:t>La crisi sismica che ha colpito il territorio aquilano nel 2009, seguita da quella del centro Italia nel 2016</w:t>
      </w:r>
      <w:r w:rsidR="00932AE5">
        <w:rPr>
          <w:lang w:val="it-IT"/>
        </w:rPr>
        <w:t>,</w:t>
      </w:r>
      <w:r w:rsidR="00A21A42">
        <w:rPr>
          <w:lang w:val="it-IT"/>
        </w:rPr>
        <w:t xml:space="preserve"> ha riportato nuovamente al centro il tema dei centri storici minori, in particolare di quelli che gravano nell</w:t>
      </w:r>
      <w:r w:rsidR="008E35E5">
        <w:rPr>
          <w:lang w:val="it-IT"/>
        </w:rPr>
        <w:t>’</w:t>
      </w:r>
      <w:r w:rsidR="00A21A42">
        <w:rPr>
          <w:lang w:val="it-IT"/>
        </w:rPr>
        <w:t>area dell</w:t>
      </w:r>
      <w:r w:rsidR="008E35E5">
        <w:rPr>
          <w:lang w:val="it-IT"/>
        </w:rPr>
        <w:t>’</w:t>
      </w:r>
      <w:r w:rsidR="00A21A42">
        <w:rPr>
          <w:lang w:val="it-IT"/>
        </w:rPr>
        <w:t>Appennino interno, mettendo drammaticamente in evidenza la decadenza a cui essi erano soggetti da lungo tempo a causa di inesorabili processi di spopolamento e avanzato degrado</w:t>
      </w:r>
      <w:r w:rsidR="00313293">
        <w:rPr>
          <w:lang w:val="it-IT"/>
        </w:rPr>
        <w:t>.</w:t>
      </w:r>
      <w:r w:rsidR="00313293" w:rsidRPr="004844E6">
        <w:rPr>
          <w:color w:val="FF0000"/>
          <w:lang w:val="it-IT"/>
        </w:rPr>
        <w:t xml:space="preserve"> </w:t>
      </w:r>
      <w:r w:rsidR="00A21A42">
        <w:rPr>
          <w:lang w:val="it-IT"/>
        </w:rPr>
        <w:t xml:space="preserve">Il futuro di questo ingente patrimonio costruito è in buona parte legato alle scelte e alle strategie che </w:t>
      </w:r>
      <w:r w:rsidR="00073376">
        <w:rPr>
          <w:lang w:val="it-IT"/>
        </w:rPr>
        <w:t>gli investimenti,</w:t>
      </w:r>
      <w:r w:rsidR="00A21A42">
        <w:rPr>
          <w:lang w:val="it-IT"/>
        </w:rPr>
        <w:t xml:space="preserve"> </w:t>
      </w:r>
      <w:r w:rsidR="00073376">
        <w:rPr>
          <w:lang w:val="it-IT"/>
        </w:rPr>
        <w:t xml:space="preserve">in </w:t>
      </w:r>
      <w:r w:rsidR="00A21A42">
        <w:rPr>
          <w:lang w:val="it-IT"/>
        </w:rPr>
        <w:t>questi territori</w:t>
      </w:r>
      <w:r w:rsidR="00073376">
        <w:rPr>
          <w:lang w:val="it-IT"/>
        </w:rPr>
        <w:t xml:space="preserve"> da ricostruire,</w:t>
      </w:r>
      <w:r w:rsidR="00A21A42">
        <w:rPr>
          <w:lang w:val="it-IT"/>
        </w:rPr>
        <w:t xml:space="preserve"> </w:t>
      </w:r>
      <w:r w:rsidR="00073376">
        <w:rPr>
          <w:lang w:val="it-IT"/>
        </w:rPr>
        <w:t xml:space="preserve">saranno </w:t>
      </w:r>
      <w:r w:rsidR="00A21A42">
        <w:rPr>
          <w:lang w:val="it-IT"/>
        </w:rPr>
        <w:t>in grado di mettere in atto</w:t>
      </w:r>
      <w:r w:rsidR="00FF26AD">
        <w:rPr>
          <w:strike/>
          <w:color w:val="FF0000"/>
          <w:lang w:val="it-IT"/>
        </w:rPr>
        <w:t>.</w:t>
      </w:r>
    </w:p>
    <w:p w14:paraId="0318517F" w14:textId="77777777" w:rsidR="00A21A42" w:rsidRPr="00321417" w:rsidRDefault="00C305EC" w:rsidP="00455C4F">
      <w:pPr>
        <w:pStyle w:val="CorpoA"/>
        <w:spacing w:after="120"/>
        <w:jc w:val="both"/>
        <w:rPr>
          <w:lang w:val="it-IT"/>
        </w:rPr>
      </w:pPr>
      <w:r>
        <w:rPr>
          <w:lang w:val="it-IT"/>
        </w:rPr>
        <w:tab/>
      </w:r>
      <w:r w:rsidR="00A21A42">
        <w:rPr>
          <w:lang w:val="it-IT"/>
        </w:rPr>
        <w:t>In quest’</w:t>
      </w:r>
      <w:r w:rsidR="00A21A42" w:rsidRPr="00321417">
        <w:rPr>
          <w:lang w:val="it-IT"/>
        </w:rPr>
        <w:t>area, gi</w:t>
      </w:r>
      <w:r w:rsidR="00A21A42">
        <w:rPr>
          <w:lang w:val="it-IT"/>
        </w:rPr>
        <w:t xml:space="preserve">à prima del terremoto dell’Aquila (2009), si evidenziavano due contesti: </w:t>
      </w:r>
    </w:p>
    <w:p w14:paraId="56FB22D8" w14:textId="77777777" w:rsidR="00A21A42" w:rsidRPr="00D94BDD" w:rsidRDefault="00A21A42"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D94BDD">
        <w:rPr>
          <w:rFonts w:ascii="Times New Roman" w:hAnsi="Times New Roman" w:cs="Times New Roman"/>
          <w:sz w:val="24"/>
          <w:szCs w:val="24"/>
        </w:rPr>
        <w:t xml:space="preserve">comuni e aree propulsive coinvolte direttamente dalla fase di crescita economica e con vocazioni e specializzazioni produttive autonome e significative, in grado di essere attrattive verso i comuni interni e limitrofi; </w:t>
      </w:r>
    </w:p>
    <w:p w14:paraId="7B748AAA" w14:textId="77777777" w:rsidR="00A21A42" w:rsidRPr="00D94BDD" w:rsidRDefault="00A21A42"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D94BDD">
        <w:rPr>
          <w:rFonts w:ascii="Times New Roman" w:hAnsi="Times New Roman" w:cs="Times New Roman"/>
          <w:sz w:val="24"/>
          <w:szCs w:val="24"/>
        </w:rPr>
        <w:t xml:space="preserve">comuni e aree, meno dinamiche e vivaci, ma in ogni caso coinvolte </w:t>
      </w:r>
      <w:r w:rsidR="000C6C57" w:rsidRPr="00D94BDD">
        <w:rPr>
          <w:rFonts w:ascii="Times New Roman" w:hAnsi="Times New Roman" w:cs="Times New Roman"/>
          <w:sz w:val="24"/>
          <w:szCs w:val="24"/>
        </w:rPr>
        <w:t xml:space="preserve">nel processo </w:t>
      </w:r>
      <w:r w:rsidRPr="00D94BDD">
        <w:rPr>
          <w:rFonts w:ascii="Times New Roman" w:hAnsi="Times New Roman" w:cs="Times New Roman"/>
          <w:sz w:val="24"/>
          <w:szCs w:val="24"/>
        </w:rPr>
        <w:t xml:space="preserve">di crescita che ha interessato i territori limitrofi e le relative specializzazioni produttive, e in cui sono presenti fenomeni di mobilità all’interno dei sistemi locali del lavoro. </w:t>
      </w:r>
    </w:p>
    <w:p w14:paraId="40F89691" w14:textId="77777777" w:rsidR="00814C18" w:rsidRDefault="00932AE5" w:rsidP="00455C4F">
      <w:pPr>
        <w:pStyle w:val="CorpoA"/>
        <w:spacing w:after="120"/>
        <w:jc w:val="both"/>
        <w:rPr>
          <w:lang w:val="it-IT"/>
        </w:rPr>
      </w:pPr>
      <w:r>
        <w:rPr>
          <w:lang w:val="it-IT"/>
        </w:rPr>
        <w:tab/>
      </w:r>
      <w:r w:rsidR="00A21A42">
        <w:rPr>
          <w:lang w:val="it-IT"/>
        </w:rPr>
        <w:t>La crescita del tessile, della meccanica</w:t>
      </w:r>
      <w:r w:rsidR="00313293">
        <w:rPr>
          <w:lang w:val="it-IT"/>
        </w:rPr>
        <w:t xml:space="preserve"> e </w:t>
      </w:r>
      <w:r w:rsidR="00E767A1">
        <w:rPr>
          <w:lang w:val="it-IT"/>
        </w:rPr>
        <w:t xml:space="preserve">della </w:t>
      </w:r>
      <w:r w:rsidR="00313293">
        <w:rPr>
          <w:lang w:val="it-IT"/>
        </w:rPr>
        <w:t>meccatronica</w:t>
      </w:r>
      <w:r w:rsidR="00A21A42">
        <w:rPr>
          <w:lang w:val="it-IT"/>
        </w:rPr>
        <w:t xml:space="preserve">, </w:t>
      </w:r>
      <w:r w:rsidR="00593B08">
        <w:rPr>
          <w:lang w:val="it-IT"/>
        </w:rPr>
        <w:t xml:space="preserve">del farmaceutico, </w:t>
      </w:r>
      <w:r w:rsidR="00A21A42">
        <w:rPr>
          <w:lang w:val="it-IT"/>
        </w:rPr>
        <w:t>del calzaturiero, delle produzioni agroalimentari, del turismo e delle diverse e varie vocazioni economiche dei territori, pur con una certa disomogeneità, appare in quegli anni costante ed allineata con il dato medio delle regioni del Centro Nord</w:t>
      </w:r>
      <w:r w:rsidR="00E767A1">
        <w:rPr>
          <w:lang w:val="it-IT"/>
        </w:rPr>
        <w:t>,</w:t>
      </w:r>
      <w:r w:rsidR="00A21A42">
        <w:rPr>
          <w:lang w:val="it-IT"/>
        </w:rPr>
        <w:t xml:space="preserve"> segnala</w:t>
      </w:r>
      <w:r w:rsidR="00E767A1">
        <w:rPr>
          <w:lang w:val="it-IT"/>
        </w:rPr>
        <w:t>ndo</w:t>
      </w:r>
      <w:r w:rsidR="00A21A42">
        <w:rPr>
          <w:lang w:val="it-IT"/>
        </w:rPr>
        <w:t>, quantomeno fino al 2008, un posizionamento dei sistemi produttivi e del lavoro dei territori in linea con l’andamento medio delle aree del Centro Nord Italia</w:t>
      </w:r>
      <w:r w:rsidR="00E767A1">
        <w:rPr>
          <w:lang w:val="it-IT"/>
        </w:rPr>
        <w:t xml:space="preserve">. </w:t>
      </w:r>
    </w:p>
    <w:p w14:paraId="1BB5076E" w14:textId="77777777" w:rsidR="00D915DE" w:rsidRDefault="00814C18" w:rsidP="00455C4F">
      <w:pPr>
        <w:pStyle w:val="CorpoA"/>
        <w:spacing w:after="120"/>
        <w:jc w:val="both"/>
        <w:rPr>
          <w:lang w:val="it-IT"/>
        </w:rPr>
      </w:pPr>
      <w:r>
        <w:rPr>
          <w:lang w:val="it-IT"/>
        </w:rPr>
        <w:lastRenderedPageBreak/>
        <w:tab/>
      </w:r>
      <w:r w:rsidR="00E767A1">
        <w:rPr>
          <w:lang w:val="it-IT"/>
        </w:rPr>
        <w:t xml:space="preserve">Sono da segnalare, tuttavia, </w:t>
      </w:r>
      <w:r w:rsidR="00A21A42">
        <w:rPr>
          <w:lang w:val="it-IT"/>
        </w:rPr>
        <w:t>alcune interessanti nicchie di maggiore vivacità, che bilanciano la minore capacità competitiva delle aree meno dinamiche presenti nel territorio. In ogni caso, la presenza di un tessuto di capitale sociale e di associazionismo piuttosto significativo è</w:t>
      </w:r>
      <w:r w:rsidR="004E51D3">
        <w:rPr>
          <w:lang w:val="it-IT"/>
        </w:rPr>
        <w:t xml:space="preserve"> </w:t>
      </w:r>
      <w:r w:rsidR="00A21A42">
        <w:rPr>
          <w:lang w:val="it-IT"/>
        </w:rPr>
        <w:t>riuscit</w:t>
      </w:r>
      <w:r w:rsidR="004E51D3">
        <w:rPr>
          <w:lang w:val="it-IT"/>
        </w:rPr>
        <w:t>a</w:t>
      </w:r>
      <w:r w:rsidR="00A21A42">
        <w:rPr>
          <w:lang w:val="it-IT"/>
        </w:rPr>
        <w:t xml:space="preserve"> in quegli anni ad intervenire per contrastare fenomeni di perdita dei legami, contrastare la povertà e alimentare la presenza di reti territoriali che hanno mantenuto la vitalità sociale dei comuni interni con una minore capacità di produzione di valore aggiunto. </w:t>
      </w:r>
    </w:p>
    <w:p w14:paraId="0AEAB6C5" w14:textId="77777777" w:rsidR="005641BB" w:rsidRPr="008E27D8" w:rsidRDefault="005641BB" w:rsidP="00455C4F">
      <w:pPr>
        <w:pStyle w:val="CorpoA"/>
        <w:spacing w:after="120"/>
        <w:jc w:val="both"/>
        <w:rPr>
          <w:lang w:val="it-IT"/>
        </w:rPr>
      </w:pPr>
      <w:r>
        <w:rPr>
          <w:lang w:val="it-IT"/>
        </w:rPr>
        <w:tab/>
      </w:r>
      <w:r w:rsidRPr="008E27D8">
        <w:rPr>
          <w:lang w:val="it-IT"/>
        </w:rPr>
        <w:t xml:space="preserve">Da ultimo, non vanno trascurati i mutamenti socio-economici accelerati dalla pandemia tuttora in corso, e dalla maggiore attenzione alle criticità dei cambiamenti climatici. Si intravedono dei trend che potrebbero offrire opportunità di crescita ad un territorio caratterizzato da un significativo patrimonio naturalistico, culturale e da una, ancora inespressa, vocazione ricettiva: </w:t>
      </w:r>
    </w:p>
    <w:p w14:paraId="697252B2" w14:textId="77777777" w:rsidR="005641BB" w:rsidRPr="00D94BDD" w:rsidRDefault="00D94BD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m</w:t>
      </w:r>
      <w:r w:rsidR="005641BB" w:rsidRPr="00D94BDD">
        <w:rPr>
          <w:rFonts w:ascii="Times New Roman" w:hAnsi="Times New Roman" w:cs="Times New Roman"/>
          <w:sz w:val="24"/>
          <w:szCs w:val="24"/>
        </w:rPr>
        <w:t>aggiore domanda di “turismo green” (eco-turismo). È una forma di turismo che rispetta ambiente e popolazioni locali, tutelando e valorizzando le risorse naturali e storico-culturali di un territorio</w:t>
      </w:r>
      <w:r>
        <w:rPr>
          <w:rFonts w:ascii="Times New Roman" w:hAnsi="Times New Roman" w:cs="Times New Roman"/>
          <w:sz w:val="24"/>
          <w:szCs w:val="24"/>
        </w:rPr>
        <w:t>;</w:t>
      </w:r>
    </w:p>
    <w:p w14:paraId="61DB5A2B" w14:textId="77777777" w:rsidR="005641BB" w:rsidRPr="00D94BDD" w:rsidRDefault="00D94BD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c</w:t>
      </w:r>
      <w:r w:rsidR="005641BB" w:rsidRPr="00D94BDD">
        <w:rPr>
          <w:rFonts w:ascii="Times New Roman" w:hAnsi="Times New Roman" w:cs="Times New Roman"/>
          <w:sz w:val="24"/>
          <w:szCs w:val="24"/>
        </w:rPr>
        <w:t>rescita del segmento turistico “</w:t>
      </w:r>
      <w:proofErr w:type="spellStart"/>
      <w:r w:rsidR="005641BB" w:rsidRPr="00D94BDD">
        <w:rPr>
          <w:rFonts w:ascii="Times New Roman" w:hAnsi="Times New Roman" w:cs="Times New Roman"/>
          <w:sz w:val="24"/>
          <w:szCs w:val="24"/>
        </w:rPr>
        <w:t>workation</w:t>
      </w:r>
      <w:proofErr w:type="spellEnd"/>
      <w:r w:rsidR="005641BB" w:rsidRPr="00D94BDD">
        <w:rPr>
          <w:rFonts w:ascii="Times New Roman" w:hAnsi="Times New Roman" w:cs="Times New Roman"/>
          <w:sz w:val="24"/>
          <w:szCs w:val="24"/>
        </w:rPr>
        <w:t>” o “</w:t>
      </w:r>
      <w:proofErr w:type="spellStart"/>
      <w:r w:rsidR="005641BB" w:rsidRPr="00D94BDD">
        <w:rPr>
          <w:rFonts w:ascii="Times New Roman" w:hAnsi="Times New Roman" w:cs="Times New Roman"/>
          <w:sz w:val="24"/>
          <w:szCs w:val="24"/>
        </w:rPr>
        <w:t>holiday</w:t>
      </w:r>
      <w:proofErr w:type="spellEnd"/>
      <w:r w:rsidR="005641BB" w:rsidRPr="00D94BDD">
        <w:rPr>
          <w:rFonts w:ascii="Times New Roman" w:hAnsi="Times New Roman" w:cs="Times New Roman"/>
          <w:sz w:val="24"/>
          <w:szCs w:val="24"/>
        </w:rPr>
        <w:t xml:space="preserve"> </w:t>
      </w:r>
      <w:proofErr w:type="spellStart"/>
      <w:r w:rsidR="005641BB" w:rsidRPr="00D94BDD">
        <w:rPr>
          <w:rFonts w:ascii="Times New Roman" w:hAnsi="Times New Roman" w:cs="Times New Roman"/>
          <w:sz w:val="24"/>
          <w:szCs w:val="24"/>
        </w:rPr>
        <w:t>working</w:t>
      </w:r>
      <w:proofErr w:type="spellEnd"/>
      <w:r w:rsidR="005641BB" w:rsidRPr="00D94BDD">
        <w:rPr>
          <w:rFonts w:ascii="Times New Roman" w:hAnsi="Times New Roman" w:cs="Times New Roman"/>
          <w:sz w:val="24"/>
          <w:szCs w:val="24"/>
        </w:rPr>
        <w:t xml:space="preserve">” (Rispetto allo </w:t>
      </w:r>
      <w:proofErr w:type="spellStart"/>
      <w:r w:rsidR="005641BB" w:rsidRPr="00D94BDD">
        <w:rPr>
          <w:rFonts w:ascii="Times New Roman" w:hAnsi="Times New Roman" w:cs="Times New Roman"/>
          <w:i/>
          <w:sz w:val="24"/>
          <w:szCs w:val="24"/>
        </w:rPr>
        <w:t>smart</w:t>
      </w:r>
      <w:proofErr w:type="spellEnd"/>
      <w:r w:rsidR="005641BB" w:rsidRPr="00D94BDD">
        <w:rPr>
          <w:rFonts w:ascii="Times New Roman" w:hAnsi="Times New Roman" w:cs="Times New Roman"/>
          <w:i/>
          <w:sz w:val="24"/>
          <w:szCs w:val="24"/>
        </w:rPr>
        <w:t xml:space="preserve"> </w:t>
      </w:r>
      <w:proofErr w:type="spellStart"/>
      <w:r w:rsidR="005641BB" w:rsidRPr="00D94BDD">
        <w:rPr>
          <w:rFonts w:ascii="Times New Roman" w:hAnsi="Times New Roman" w:cs="Times New Roman"/>
          <w:i/>
          <w:sz w:val="24"/>
          <w:szCs w:val="24"/>
        </w:rPr>
        <w:t>working</w:t>
      </w:r>
      <w:proofErr w:type="spellEnd"/>
      <w:r w:rsidR="005641BB" w:rsidRPr="00D94BDD">
        <w:rPr>
          <w:rFonts w:ascii="Times New Roman" w:hAnsi="Times New Roman" w:cs="Times New Roman"/>
          <w:sz w:val="24"/>
          <w:szCs w:val="24"/>
        </w:rPr>
        <w:t>, questo nuovo trend consente a una persona di poter lavorare in qualsiasi luogo di villeggiatura, dal mare alla montagna, in Italia o all’estero)</w:t>
      </w:r>
      <w:r>
        <w:rPr>
          <w:rFonts w:ascii="Times New Roman" w:hAnsi="Times New Roman" w:cs="Times New Roman"/>
          <w:sz w:val="24"/>
          <w:szCs w:val="24"/>
        </w:rPr>
        <w:t>;</w:t>
      </w:r>
    </w:p>
    <w:p w14:paraId="371F05DA" w14:textId="77777777" w:rsidR="00991BB1" w:rsidRPr="00D94BDD" w:rsidRDefault="00D94BD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i</w:t>
      </w:r>
      <w:r w:rsidR="005641BB" w:rsidRPr="00D94BDD">
        <w:rPr>
          <w:rFonts w:ascii="Times New Roman" w:hAnsi="Times New Roman" w:cs="Times New Roman"/>
          <w:sz w:val="24"/>
          <w:szCs w:val="24"/>
        </w:rPr>
        <w:t>ncremento della modalità di lavoro da remoto (</w:t>
      </w:r>
      <w:proofErr w:type="spellStart"/>
      <w:r w:rsidR="005641BB" w:rsidRPr="00D94BDD">
        <w:rPr>
          <w:rFonts w:ascii="Times New Roman" w:hAnsi="Times New Roman" w:cs="Times New Roman"/>
          <w:i/>
          <w:sz w:val="24"/>
          <w:szCs w:val="24"/>
        </w:rPr>
        <w:t>smart</w:t>
      </w:r>
      <w:proofErr w:type="spellEnd"/>
      <w:r w:rsidR="005641BB" w:rsidRPr="00D94BDD">
        <w:rPr>
          <w:rFonts w:ascii="Times New Roman" w:hAnsi="Times New Roman" w:cs="Times New Roman"/>
          <w:i/>
          <w:sz w:val="24"/>
          <w:szCs w:val="24"/>
        </w:rPr>
        <w:t xml:space="preserve"> </w:t>
      </w:r>
      <w:proofErr w:type="spellStart"/>
      <w:r w:rsidR="005641BB" w:rsidRPr="00D94BDD">
        <w:rPr>
          <w:rFonts w:ascii="Times New Roman" w:hAnsi="Times New Roman" w:cs="Times New Roman"/>
          <w:i/>
          <w:sz w:val="24"/>
          <w:szCs w:val="24"/>
        </w:rPr>
        <w:t>working</w:t>
      </w:r>
      <w:proofErr w:type="spellEnd"/>
      <w:r w:rsidR="005641BB" w:rsidRPr="00D94BDD">
        <w:rPr>
          <w:rFonts w:ascii="Times New Roman" w:hAnsi="Times New Roman" w:cs="Times New Roman"/>
          <w:sz w:val="24"/>
          <w:szCs w:val="24"/>
        </w:rPr>
        <w:t>) in particolare per profili professionali ad alto valore aggiunto di conoscenza e competenze. Liberi professionisti, lavoratori creativi e digitali, startup innovative e imprese ad alta intensità di conoscenza e innovazione</w:t>
      </w:r>
      <w:r>
        <w:rPr>
          <w:rFonts w:ascii="Times New Roman" w:hAnsi="Times New Roman" w:cs="Times New Roman"/>
          <w:sz w:val="24"/>
          <w:szCs w:val="24"/>
        </w:rPr>
        <w:t>;</w:t>
      </w:r>
    </w:p>
    <w:p w14:paraId="3C305B0E" w14:textId="77777777" w:rsidR="005641BB" w:rsidRPr="00937A63" w:rsidRDefault="00D94BD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d</w:t>
      </w:r>
      <w:r w:rsidR="005641BB" w:rsidRPr="00D94BDD">
        <w:rPr>
          <w:rFonts w:ascii="Times New Roman" w:hAnsi="Times New Roman" w:cs="Times New Roman"/>
          <w:sz w:val="24"/>
          <w:szCs w:val="24"/>
        </w:rPr>
        <w:t>igitalizzazione sempre più spinta nel settore dei servizi, manifatturiero e educativo</w:t>
      </w:r>
      <w:r>
        <w:rPr>
          <w:rFonts w:ascii="Times New Roman" w:hAnsi="Times New Roman" w:cs="Times New Roman"/>
          <w:sz w:val="24"/>
          <w:szCs w:val="24"/>
        </w:rPr>
        <w:t>.</w:t>
      </w:r>
    </w:p>
    <w:p w14:paraId="26220047" w14:textId="77777777" w:rsidR="005641BB" w:rsidRDefault="0091496C" w:rsidP="00455C4F">
      <w:pPr>
        <w:pStyle w:val="CorpoA"/>
        <w:spacing w:after="120"/>
        <w:jc w:val="both"/>
        <w:rPr>
          <w:lang w:val="it-IT"/>
        </w:rPr>
      </w:pPr>
      <w:r>
        <w:rPr>
          <w:lang w:val="it-IT"/>
        </w:rPr>
        <w:tab/>
      </w:r>
      <w:r w:rsidR="005641BB" w:rsidRPr="008E27D8">
        <w:rPr>
          <w:lang w:val="it-IT"/>
        </w:rPr>
        <w:t>La facilità di fruizione di risorse culturali e naturali che il territorio può offrire può diventare un fattore attrattivo per professionalità ed iniziative imprenditoriali alla ricerca non solo del “best place to work”, ma anche del “best place to live”.</w:t>
      </w:r>
      <w:r w:rsidR="005641BB" w:rsidRPr="004060CB">
        <w:rPr>
          <w:lang w:val="it-IT"/>
        </w:rPr>
        <w:t xml:space="preserve">  </w:t>
      </w:r>
    </w:p>
    <w:p w14:paraId="0171759E" w14:textId="77777777" w:rsidR="00024A3A" w:rsidRDefault="00024A3A" w:rsidP="00455C4F">
      <w:pPr>
        <w:pStyle w:val="CorpoA"/>
        <w:spacing w:after="120"/>
        <w:ind w:firstLine="708"/>
        <w:jc w:val="both"/>
        <w:rPr>
          <w:lang w:val="it-IT"/>
        </w:rPr>
      </w:pPr>
      <w:r>
        <w:rPr>
          <w:lang w:val="it-IT"/>
        </w:rPr>
        <w:t xml:space="preserve">Da quanto sopra esposto, si evince che buona parte delle caratteristiche socio-morfologiche ed economiche dei territori dei due crateri sono da considerarsi omogenee e richiedono, pertanto, delle azioni coordinate secondo una strategia unitaria che viene di seguito illustrata. </w:t>
      </w:r>
    </w:p>
    <w:p w14:paraId="78B9EF5C" w14:textId="77777777" w:rsidR="00865E8F" w:rsidRDefault="00865E8F" w:rsidP="00991BB1">
      <w:pPr>
        <w:spacing w:after="120"/>
        <w:jc w:val="both"/>
        <w:rPr>
          <w:rFonts w:ascii="Verdana" w:hAnsi="Verdana"/>
          <w:b/>
          <w:color w:val="C00000"/>
        </w:rPr>
      </w:pPr>
    </w:p>
    <w:p w14:paraId="102088C6" w14:textId="77777777" w:rsidR="007E476D" w:rsidRDefault="00991BB1" w:rsidP="00697B43">
      <w:pPr>
        <w:spacing w:after="120" w:line="240" w:lineRule="auto"/>
        <w:jc w:val="both"/>
        <w:rPr>
          <w:rFonts w:ascii="Verdana" w:hAnsi="Verdana"/>
          <w:b/>
          <w:color w:val="C00000"/>
          <w:sz w:val="24"/>
          <w:szCs w:val="24"/>
        </w:rPr>
      </w:pPr>
      <w:r w:rsidRPr="00697B43">
        <w:rPr>
          <w:rFonts w:ascii="Verdana" w:hAnsi="Verdana"/>
          <w:b/>
          <w:color w:val="C00000"/>
          <w:sz w:val="24"/>
          <w:szCs w:val="24"/>
        </w:rPr>
        <w:t>Terza</w:t>
      </w:r>
      <w:r>
        <w:rPr>
          <w:rFonts w:ascii="Verdana" w:hAnsi="Verdana"/>
          <w:b/>
          <w:color w:val="C00000"/>
          <w:sz w:val="24"/>
          <w:szCs w:val="24"/>
        </w:rPr>
        <w:t xml:space="preserve"> </w:t>
      </w:r>
      <w:r w:rsidR="007E476D">
        <w:rPr>
          <w:rFonts w:ascii="Verdana" w:hAnsi="Verdana"/>
          <w:b/>
          <w:color w:val="C00000"/>
          <w:sz w:val="24"/>
          <w:szCs w:val="24"/>
        </w:rPr>
        <w:t xml:space="preserve">parte </w:t>
      </w:r>
    </w:p>
    <w:p w14:paraId="4B2BC59B" w14:textId="77777777" w:rsidR="00455C4F" w:rsidRDefault="007E476D" w:rsidP="00697B43">
      <w:pPr>
        <w:spacing w:after="120" w:line="240" w:lineRule="auto"/>
        <w:jc w:val="both"/>
        <w:rPr>
          <w:rFonts w:ascii="Verdana" w:hAnsi="Verdana"/>
          <w:b/>
          <w:color w:val="C00000"/>
          <w:sz w:val="24"/>
          <w:szCs w:val="24"/>
        </w:rPr>
      </w:pPr>
      <w:r>
        <w:rPr>
          <w:rFonts w:ascii="Verdana" w:hAnsi="Verdana"/>
          <w:b/>
          <w:color w:val="C00000"/>
          <w:sz w:val="24"/>
          <w:szCs w:val="24"/>
        </w:rPr>
        <w:t xml:space="preserve">Una strategia unitaria di sviluppo per le aree dei sismi del Centro Italia </w:t>
      </w:r>
    </w:p>
    <w:p w14:paraId="6948B58E" w14:textId="77777777" w:rsidR="007E476D" w:rsidRDefault="007E476D" w:rsidP="00D92A8E">
      <w:pPr>
        <w:pStyle w:val="CorpoA"/>
        <w:spacing w:after="120"/>
        <w:jc w:val="both"/>
        <w:rPr>
          <w:lang w:val="it-IT"/>
        </w:rPr>
      </w:pPr>
      <w:r>
        <w:rPr>
          <w:lang w:val="it-IT"/>
        </w:rPr>
        <w:tab/>
        <w:t xml:space="preserve">La transizione verde e digitale sostenuta dal Recovery Plan ha di fronte a sé l’impegno più gravoso: individuare, in tempi rapidi, percorsi concreti per passare dagli obiettivi che l’Europa ha indicato a progetti puntuali ed operativi.  Questo passaggio deve innestarsi in una visione strategica condivisa, aperta e sostenibile, coerente con i caratteri strutturali e identitari dei luoghi ed interagire con le azioni, i progetti ed i segnali di rinascita che stanno spontaneamente nascendo in diverse aree del cratere dei sismi 2009 e 2016. Inoltre, per tentare di gestire efficacemente il sistema degli investimenti previsti dal PNRR, è opportuno mettere in atto alcune nuove forme di organizzazione della pratica amministrativa, in particolare quelle riguardanti: </w:t>
      </w:r>
    </w:p>
    <w:p w14:paraId="2569F828" w14:textId="77777777" w:rsidR="007E476D" w:rsidRDefault="007E476D" w:rsidP="007A6A4F">
      <w:pPr>
        <w:pStyle w:val="CorpoA"/>
        <w:numPr>
          <w:ilvl w:val="0"/>
          <w:numId w:val="4"/>
        </w:numPr>
        <w:spacing w:after="120"/>
        <w:jc w:val="both"/>
        <w:rPr>
          <w:lang w:val="it-IT"/>
        </w:rPr>
      </w:pPr>
      <w:r>
        <w:rPr>
          <w:lang w:val="it-IT"/>
        </w:rPr>
        <w:t xml:space="preserve">la rivisitazione del principio di sussidiarietà e quindi dei rapporti tra i diversi livelli di governo, attraverso il ridisegno dell’architettura istituzionale, da tempo al centro del dibattito politico; </w:t>
      </w:r>
      <w:r>
        <w:rPr>
          <w:lang w:val="it-IT"/>
        </w:rPr>
        <w:tab/>
      </w:r>
    </w:p>
    <w:p w14:paraId="6D61DBC3" w14:textId="77777777" w:rsidR="007E476D" w:rsidRDefault="007E476D" w:rsidP="007A6A4F">
      <w:pPr>
        <w:pStyle w:val="CorpoA"/>
        <w:numPr>
          <w:ilvl w:val="0"/>
          <w:numId w:val="4"/>
        </w:numPr>
        <w:spacing w:after="120"/>
        <w:jc w:val="both"/>
        <w:rPr>
          <w:lang w:val="it-IT"/>
        </w:rPr>
      </w:pPr>
      <w:r>
        <w:rPr>
          <w:lang w:val="it-IT"/>
        </w:rPr>
        <w:t xml:space="preserve">la rimodulazione di alcuni approcci al governo del territorio ed in particolare il raccordo tra pianificazione speciale (e/o preventiva) e pianificazione ordinaria; </w:t>
      </w:r>
    </w:p>
    <w:p w14:paraId="5E38C1BF" w14:textId="77777777" w:rsidR="007E476D" w:rsidRDefault="007E476D" w:rsidP="007A6A4F">
      <w:pPr>
        <w:pStyle w:val="CorpoA"/>
        <w:numPr>
          <w:ilvl w:val="0"/>
          <w:numId w:val="4"/>
        </w:numPr>
        <w:spacing w:after="120"/>
        <w:jc w:val="both"/>
        <w:rPr>
          <w:lang w:val="it-IT"/>
        </w:rPr>
      </w:pPr>
      <w:r>
        <w:rPr>
          <w:lang w:val="it-IT"/>
        </w:rPr>
        <w:t>la messa a disposizione delle banche dati esistenti e necessarie per ogni attività progettuale e programmatoria che si voglia avviare</w:t>
      </w:r>
      <w:r w:rsidR="00DA501D">
        <w:rPr>
          <w:lang w:val="it-IT"/>
        </w:rPr>
        <w:t xml:space="preserve"> (su modello del Sistema </w:t>
      </w:r>
      <w:r w:rsidR="00DA501D">
        <w:rPr>
          <w:lang w:val="it-IT"/>
        </w:rPr>
        <w:lastRenderedPageBreak/>
        <w:t>Informativo Territoriale – S.I.T., già attivo nel Comune di L’Aquila)</w:t>
      </w:r>
      <w:r>
        <w:rPr>
          <w:lang w:val="it-IT"/>
        </w:rPr>
        <w:t xml:space="preserve">, attraverso il diretto coinvolgimento di tutti gli enti di governo ai diversi livelli; </w:t>
      </w:r>
    </w:p>
    <w:p w14:paraId="426DAA9B" w14:textId="77777777" w:rsidR="007E476D" w:rsidRDefault="007E476D" w:rsidP="007A6A4F">
      <w:pPr>
        <w:pStyle w:val="CorpoA"/>
        <w:numPr>
          <w:ilvl w:val="0"/>
          <w:numId w:val="4"/>
        </w:numPr>
        <w:spacing w:after="120"/>
        <w:jc w:val="both"/>
        <w:rPr>
          <w:lang w:val="it-IT"/>
        </w:rPr>
      </w:pPr>
      <w:r>
        <w:rPr>
          <w:lang w:val="it-IT"/>
        </w:rPr>
        <w:t xml:space="preserve">il monitoraggio del percorso di attuazione delle azioni progettuali del PNRR, al fine d’introdurre eventuali correttivi in corsa, quando ritenuti utili al conseguimento degli obiettivi predefiniti. </w:t>
      </w:r>
    </w:p>
    <w:p w14:paraId="0436DD92" w14:textId="77777777" w:rsidR="005641BB" w:rsidRPr="00C771C2" w:rsidRDefault="005641BB" w:rsidP="00455C4F">
      <w:pPr>
        <w:pStyle w:val="CorpoA"/>
        <w:spacing w:after="120"/>
        <w:jc w:val="both"/>
        <w:rPr>
          <w:i/>
          <w:lang w:val="it-IT"/>
        </w:rPr>
      </w:pPr>
    </w:p>
    <w:p w14:paraId="47DED4AC" w14:textId="77777777" w:rsidR="005641BB" w:rsidRDefault="005641BB" w:rsidP="00455C4F">
      <w:pPr>
        <w:pStyle w:val="CorpoA"/>
        <w:spacing w:after="120"/>
        <w:jc w:val="both"/>
        <w:rPr>
          <w:i/>
          <w:lang w:val="it-IT"/>
        </w:rPr>
      </w:pPr>
      <w:r>
        <w:rPr>
          <w:i/>
          <w:lang w:val="it-IT"/>
        </w:rPr>
        <w:tab/>
      </w:r>
      <w:r w:rsidRPr="00C771C2">
        <w:rPr>
          <w:i/>
          <w:lang w:val="it-IT"/>
        </w:rPr>
        <w:t>In questo senso, a fronte dell’analisi delle caratteristiche di unitarietà del territorio e conseguentemente della programmazione integrata delle aree dei sismi 2009 e 2016 appare necessario definire una visione strategica per l’area de</w:t>
      </w:r>
      <w:r>
        <w:rPr>
          <w:i/>
          <w:lang w:val="it-IT"/>
        </w:rPr>
        <w:t>i due</w:t>
      </w:r>
      <w:r w:rsidRPr="00C771C2">
        <w:rPr>
          <w:i/>
          <w:lang w:val="it-IT"/>
        </w:rPr>
        <w:t xml:space="preserve"> crater</w:t>
      </w:r>
      <w:r>
        <w:rPr>
          <w:i/>
          <w:lang w:val="it-IT"/>
        </w:rPr>
        <w:t>i</w:t>
      </w:r>
      <w:r w:rsidRPr="00C771C2">
        <w:rPr>
          <w:i/>
          <w:lang w:val="it-IT"/>
        </w:rPr>
        <w:t>, che diventa essenziale per inquadrare e orientare i programmi unitari d’intervento. Si definiscono per questo obiettivo di messa a sistema degli investimenti le linee strategiche che seguono, tra loro significativamente interagenti.</w:t>
      </w:r>
    </w:p>
    <w:p w14:paraId="4A91B1E3" w14:textId="6BC56EA5" w:rsidR="005641BB" w:rsidRPr="00C771C2" w:rsidRDefault="0010115D" w:rsidP="00455C4F">
      <w:pPr>
        <w:pStyle w:val="CorpoA"/>
        <w:spacing w:after="120"/>
        <w:jc w:val="both"/>
        <w:rPr>
          <w:i/>
          <w:lang w:val="it-IT"/>
        </w:rPr>
      </w:pPr>
      <w:r>
        <w:rPr>
          <w:i/>
          <w:lang w:val="it-IT"/>
        </w:rPr>
        <w:tab/>
      </w:r>
      <w:r w:rsidR="005641BB">
        <w:rPr>
          <w:i/>
          <w:lang w:val="it-IT"/>
        </w:rPr>
        <w:t>Queste linee strategiche costituiscono l’analisi di premessa delle misure specifiche di intervento previste a finanziamento del Fondo complementare P</w:t>
      </w:r>
      <w:r w:rsidR="00442272">
        <w:rPr>
          <w:i/>
          <w:lang w:val="it-IT"/>
        </w:rPr>
        <w:t>NRR</w:t>
      </w:r>
      <w:r w:rsidR="005641BB">
        <w:rPr>
          <w:i/>
          <w:lang w:val="it-IT"/>
        </w:rPr>
        <w:t xml:space="preserve"> successivamente descritte</w:t>
      </w:r>
      <w:r w:rsidR="005641BB" w:rsidRPr="00C771C2">
        <w:rPr>
          <w:i/>
          <w:lang w:val="it-IT"/>
        </w:rPr>
        <w:t xml:space="preserve"> </w:t>
      </w:r>
      <w:r w:rsidR="005641BB">
        <w:rPr>
          <w:i/>
          <w:lang w:val="it-IT"/>
        </w:rPr>
        <w:t>e vanno inserite in un quadro di insieme che deve necessariamente agire in sinergia e considerare gli interventi del P</w:t>
      </w:r>
      <w:r w:rsidR="00442272">
        <w:rPr>
          <w:i/>
          <w:lang w:val="it-IT"/>
        </w:rPr>
        <w:t>NRR</w:t>
      </w:r>
      <w:r w:rsidR="005641BB">
        <w:rPr>
          <w:i/>
          <w:lang w:val="it-IT"/>
        </w:rPr>
        <w:t xml:space="preserve"> ordinario, del Contratto istituzionale di sviluppo per le aree del sisma 2016 e le diverse iniziative sostenute dalla programmazione dei fondi comunitari nei territori considerati.</w:t>
      </w:r>
    </w:p>
    <w:p w14:paraId="52621E6A" w14:textId="77777777" w:rsidR="007E476D" w:rsidRPr="00AC2D4F" w:rsidRDefault="007E476D" w:rsidP="00D36D29">
      <w:pPr>
        <w:pStyle w:val="CorpoA"/>
        <w:jc w:val="both"/>
        <w:rPr>
          <w:lang w:val="it-IT"/>
        </w:rPr>
      </w:pPr>
    </w:p>
    <w:p w14:paraId="1935B741" w14:textId="77777777" w:rsidR="007E476D" w:rsidRPr="004F0254" w:rsidRDefault="007E476D" w:rsidP="00062345">
      <w:pPr>
        <w:pStyle w:val="Testocommento"/>
        <w:numPr>
          <w:ilvl w:val="1"/>
          <w:numId w:val="19"/>
        </w:numPr>
        <w:pBdr>
          <w:top w:val="nil"/>
          <w:left w:val="nil"/>
          <w:bottom w:val="nil"/>
          <w:right w:val="nil"/>
          <w:between w:val="nil"/>
          <w:bar w:val="nil"/>
        </w:pBdr>
        <w:spacing w:after="0"/>
        <w:jc w:val="both"/>
        <w:rPr>
          <w:rFonts w:cs="Times New Roman"/>
          <w:i/>
        </w:rPr>
      </w:pPr>
      <w:r w:rsidRPr="004F0254">
        <w:rPr>
          <w:rFonts w:ascii="Times New Roman" w:hAnsi="Times New Roman" w:cs="Times New Roman"/>
          <w:b/>
          <w:bCs/>
          <w:i/>
          <w:color w:val="4472C4" w:themeColor="accent1"/>
          <w:sz w:val="24"/>
          <w:szCs w:val="24"/>
        </w:rPr>
        <w:t>Città e borghi sicuri, accoglienti e sostenibili</w:t>
      </w:r>
    </w:p>
    <w:p w14:paraId="3CC3FDEC" w14:textId="77777777" w:rsidR="008E35E5" w:rsidRPr="00382E41" w:rsidRDefault="008E35E5" w:rsidP="004F0254">
      <w:pPr>
        <w:pStyle w:val="Testocommento"/>
        <w:pBdr>
          <w:top w:val="nil"/>
          <w:left w:val="nil"/>
          <w:bottom w:val="nil"/>
          <w:right w:val="nil"/>
          <w:between w:val="nil"/>
          <w:bar w:val="nil"/>
        </w:pBdr>
        <w:spacing w:after="0"/>
        <w:ind w:left="1080"/>
        <w:jc w:val="both"/>
        <w:rPr>
          <w:rFonts w:cs="Times New Roman"/>
          <w:i/>
          <w:sz w:val="24"/>
          <w:szCs w:val="24"/>
        </w:rPr>
      </w:pPr>
    </w:p>
    <w:p w14:paraId="45F1213F" w14:textId="77777777" w:rsidR="00593B08" w:rsidRDefault="007E476D" w:rsidP="00455C4F">
      <w:pPr>
        <w:pStyle w:val="Testocommento"/>
        <w:spacing w:after="120"/>
        <w:jc w:val="both"/>
        <w:rPr>
          <w:rFonts w:ascii="Times New Roman" w:hAnsi="Times New Roman" w:cs="Times New Roman"/>
          <w:sz w:val="24"/>
          <w:szCs w:val="24"/>
        </w:rPr>
      </w:pPr>
      <w:r>
        <w:rPr>
          <w:rFonts w:ascii="Times New Roman" w:hAnsi="Times New Roman" w:cs="Times New Roman"/>
          <w:sz w:val="24"/>
          <w:szCs w:val="24"/>
        </w:rPr>
        <w:tab/>
      </w:r>
      <w:r w:rsidRPr="0040128A">
        <w:rPr>
          <w:rFonts w:ascii="Times New Roman" w:hAnsi="Times New Roman" w:cs="Times New Roman"/>
          <w:sz w:val="24"/>
          <w:szCs w:val="24"/>
        </w:rPr>
        <w:t>L’obiettivo generale di questa linea strategica sarà quello di conservare o ripristinare la qualità e la sostenibilità ambientale delle città e dei borghi dell’Appennino centrale colpiti da</w:t>
      </w:r>
      <w:r>
        <w:rPr>
          <w:rFonts w:ascii="Times New Roman" w:hAnsi="Times New Roman" w:cs="Times New Roman"/>
          <w:sz w:val="24"/>
          <w:szCs w:val="24"/>
        </w:rPr>
        <w:t xml:space="preserve">i </w:t>
      </w:r>
      <w:r w:rsidRPr="0040128A">
        <w:rPr>
          <w:rFonts w:ascii="Times New Roman" w:hAnsi="Times New Roman" w:cs="Times New Roman"/>
          <w:sz w:val="24"/>
          <w:szCs w:val="24"/>
        </w:rPr>
        <w:t>sism</w:t>
      </w:r>
      <w:r>
        <w:rPr>
          <w:rFonts w:ascii="Times New Roman" w:hAnsi="Times New Roman" w:cs="Times New Roman"/>
          <w:sz w:val="24"/>
          <w:szCs w:val="24"/>
        </w:rPr>
        <w:t>i</w:t>
      </w:r>
      <w:r w:rsidRPr="0040128A">
        <w:rPr>
          <w:rFonts w:ascii="Times New Roman" w:hAnsi="Times New Roman" w:cs="Times New Roman"/>
          <w:sz w:val="24"/>
          <w:szCs w:val="24"/>
        </w:rPr>
        <w:t xml:space="preserve"> </w:t>
      </w:r>
      <w:r>
        <w:rPr>
          <w:rFonts w:ascii="Times New Roman" w:hAnsi="Times New Roman" w:cs="Times New Roman"/>
          <w:sz w:val="24"/>
          <w:szCs w:val="24"/>
        </w:rPr>
        <w:t xml:space="preserve">del 2009 e del 2016-17 </w:t>
      </w:r>
      <w:r w:rsidRPr="0040128A">
        <w:rPr>
          <w:rFonts w:ascii="Times New Roman" w:hAnsi="Times New Roman" w:cs="Times New Roman"/>
          <w:sz w:val="24"/>
          <w:szCs w:val="24"/>
        </w:rPr>
        <w:t>e dei territori circostanti, in relazione agli ambienti di vita: lo spazio urbano, lo spazio domestico, lo spazio rurale, gli ambienti di lavoro, migliorando la sicurezza e la qualità della vita dei cittadini e dei visitatori (turisti), anche mediante interventi sull’organizzazione degli spazi urbani che favoriscano l’accoglienza e l’inclusività, con particolare attenzione alle esigenze e ai timori delle categorie più fragili (bambini, anziani</w:t>
      </w:r>
      <w:r w:rsidR="00BF5774">
        <w:rPr>
          <w:rFonts w:ascii="Times New Roman" w:hAnsi="Times New Roman" w:cs="Times New Roman"/>
          <w:sz w:val="24"/>
          <w:szCs w:val="24"/>
        </w:rPr>
        <w:t>, disabili</w:t>
      </w:r>
      <w:r w:rsidRPr="0040128A">
        <w:rPr>
          <w:rFonts w:ascii="Times New Roman" w:hAnsi="Times New Roman" w:cs="Times New Roman"/>
          <w:sz w:val="24"/>
          <w:szCs w:val="24"/>
        </w:rPr>
        <w:t>).</w:t>
      </w:r>
      <w:r w:rsidR="005C650A">
        <w:rPr>
          <w:rFonts w:ascii="Times New Roman" w:hAnsi="Times New Roman" w:cs="Times New Roman"/>
          <w:sz w:val="24"/>
          <w:szCs w:val="24"/>
        </w:rPr>
        <w:t xml:space="preserve"> </w:t>
      </w:r>
    </w:p>
    <w:p w14:paraId="4E9557E9" w14:textId="77777777" w:rsidR="00593B08" w:rsidRDefault="00593B08" w:rsidP="00455C4F">
      <w:pPr>
        <w:pStyle w:val="Testocommento"/>
        <w:spacing w:after="120"/>
        <w:jc w:val="both"/>
        <w:rPr>
          <w:rFonts w:ascii="Times New Roman" w:hAnsi="Times New Roman" w:cs="Times New Roman"/>
          <w:sz w:val="24"/>
          <w:szCs w:val="24"/>
        </w:rPr>
      </w:pPr>
      <w:r>
        <w:rPr>
          <w:rFonts w:ascii="Times New Roman" w:hAnsi="Times New Roman" w:cs="Times New Roman"/>
          <w:sz w:val="24"/>
          <w:szCs w:val="24"/>
        </w:rPr>
        <w:tab/>
      </w:r>
      <w:r w:rsidRPr="0040128A">
        <w:rPr>
          <w:rFonts w:ascii="Times New Roman" w:hAnsi="Times New Roman" w:cs="Times New Roman"/>
          <w:sz w:val="24"/>
          <w:szCs w:val="24"/>
        </w:rPr>
        <w:t>Per il raggiungimento del succitato obiettivo</w:t>
      </w:r>
      <w:r w:rsidR="00AC2D4F">
        <w:rPr>
          <w:rFonts w:ascii="Times New Roman" w:hAnsi="Times New Roman" w:cs="Times New Roman"/>
          <w:sz w:val="24"/>
          <w:szCs w:val="24"/>
        </w:rPr>
        <w:t>,</w:t>
      </w:r>
      <w:r w:rsidRPr="0040128A">
        <w:rPr>
          <w:rFonts w:ascii="Times New Roman" w:hAnsi="Times New Roman" w:cs="Times New Roman"/>
          <w:sz w:val="24"/>
          <w:szCs w:val="24"/>
        </w:rPr>
        <w:t xml:space="preserve"> si rende necessario intervenire sull'organizzazione dell'armatura urbana delle città e dei borghi de</w:t>
      </w:r>
      <w:r>
        <w:rPr>
          <w:rFonts w:ascii="Times New Roman" w:hAnsi="Times New Roman" w:cs="Times New Roman"/>
          <w:sz w:val="24"/>
          <w:szCs w:val="24"/>
        </w:rPr>
        <w:t>i</w:t>
      </w:r>
      <w:r w:rsidRPr="0040128A">
        <w:rPr>
          <w:rFonts w:ascii="Times New Roman" w:hAnsi="Times New Roman" w:cs="Times New Roman"/>
          <w:sz w:val="24"/>
          <w:szCs w:val="24"/>
        </w:rPr>
        <w:t xml:space="preserve"> crater</w:t>
      </w:r>
      <w:r>
        <w:rPr>
          <w:rFonts w:ascii="Times New Roman" w:hAnsi="Times New Roman" w:cs="Times New Roman"/>
          <w:sz w:val="24"/>
          <w:szCs w:val="24"/>
        </w:rPr>
        <w:t>i</w:t>
      </w:r>
      <w:r w:rsidRPr="0040128A">
        <w:rPr>
          <w:rFonts w:ascii="Times New Roman" w:hAnsi="Times New Roman" w:cs="Times New Roman"/>
          <w:sz w:val="24"/>
          <w:szCs w:val="24"/>
        </w:rPr>
        <w:t xml:space="preserve"> che presentano, da un lato, una ricchezza significativa in termini di patrimonio storico-architettonico, dall'altro, grandi difficoltà a ripensare e valorizzare edifici e insediamenti riducendo i consumi, favorendo le connessioni virtuali e fisiche, a favore di una transizione verde</w:t>
      </w:r>
      <w:r>
        <w:rPr>
          <w:rFonts w:ascii="Times New Roman" w:hAnsi="Times New Roman" w:cs="Times New Roman"/>
          <w:sz w:val="24"/>
          <w:szCs w:val="24"/>
        </w:rPr>
        <w:t xml:space="preserve"> e digitale.</w:t>
      </w:r>
      <w:r w:rsidRPr="0040128A">
        <w:rPr>
          <w:rFonts w:ascii="Times New Roman" w:hAnsi="Times New Roman" w:cs="Times New Roman"/>
          <w:sz w:val="24"/>
          <w:szCs w:val="24"/>
        </w:rPr>
        <w:t xml:space="preserve"> Migliorare l'accessibilità e la sostenibilità delle città e dei piccoli borghi richiede cambiamenti sostanziali nel sistema di organizzazione degli spazi aperti e nelle abitudini di spostamento, mobilità e connessione delle persone e delle imprese. </w:t>
      </w:r>
    </w:p>
    <w:p w14:paraId="525A604F" w14:textId="77777777" w:rsidR="007E476D" w:rsidRPr="0040128A" w:rsidRDefault="00593B08" w:rsidP="00455C4F">
      <w:pPr>
        <w:pStyle w:val="Testocommento"/>
        <w:spacing w:after="120"/>
        <w:jc w:val="both"/>
        <w:rPr>
          <w:rFonts w:ascii="Times New Roman" w:hAnsi="Times New Roman" w:cs="Times New Roman"/>
          <w:sz w:val="24"/>
          <w:szCs w:val="24"/>
        </w:rPr>
      </w:pPr>
      <w:r>
        <w:rPr>
          <w:rFonts w:ascii="Times New Roman" w:hAnsi="Times New Roman" w:cs="Times New Roman"/>
          <w:sz w:val="24"/>
          <w:szCs w:val="24"/>
        </w:rPr>
        <w:tab/>
      </w:r>
      <w:r w:rsidR="007E476D" w:rsidRPr="0040128A">
        <w:rPr>
          <w:rFonts w:ascii="Times New Roman" w:hAnsi="Times New Roman" w:cs="Times New Roman"/>
          <w:sz w:val="24"/>
          <w:szCs w:val="24"/>
        </w:rPr>
        <w:t>Gli interventi riguardano, in particolare:</w:t>
      </w:r>
    </w:p>
    <w:p w14:paraId="702D884B" w14:textId="77777777" w:rsidR="007E476D" w:rsidRPr="009C1181" w:rsidRDefault="007E476D" w:rsidP="007A6A4F">
      <w:pPr>
        <w:pStyle w:val="Testocommento"/>
        <w:numPr>
          <w:ilvl w:val="0"/>
          <w:numId w:val="5"/>
        </w:numPr>
        <w:pBdr>
          <w:top w:val="nil"/>
          <w:left w:val="nil"/>
          <w:bottom w:val="nil"/>
          <w:right w:val="nil"/>
          <w:between w:val="nil"/>
          <w:bar w:val="nil"/>
        </w:pBdr>
        <w:spacing w:after="120"/>
        <w:jc w:val="both"/>
        <w:rPr>
          <w:rFonts w:ascii="Times New Roman" w:hAnsi="Times New Roman" w:cs="Times New Roman"/>
          <w:sz w:val="24"/>
          <w:szCs w:val="24"/>
        </w:rPr>
      </w:pPr>
      <w:r w:rsidRPr="0040128A">
        <w:rPr>
          <w:rFonts w:ascii="Times New Roman" w:hAnsi="Times New Roman" w:cs="Times New Roman"/>
          <w:sz w:val="24"/>
          <w:szCs w:val="24"/>
        </w:rPr>
        <w:t>l’utilizzo appropriato del vasto patrimonio edilizio esistente, soprattutto in relazione</w:t>
      </w:r>
      <w:r w:rsidR="009C1181" w:rsidRPr="007537D5">
        <w:rPr>
          <w:rFonts w:ascii="Times New Roman" w:hAnsi="Times New Roman" w:cs="Times New Roman"/>
          <w:sz w:val="24"/>
          <w:szCs w:val="24"/>
        </w:rPr>
        <w:t xml:space="preserve"> a: </w:t>
      </w:r>
      <w:r w:rsidRPr="009C1181">
        <w:rPr>
          <w:rFonts w:ascii="Times New Roman" w:hAnsi="Times New Roman" w:cs="Times New Roman"/>
          <w:sz w:val="24"/>
          <w:szCs w:val="24"/>
        </w:rPr>
        <w:t xml:space="preserve"> </w:t>
      </w:r>
    </w:p>
    <w:p w14:paraId="1DD29E08" w14:textId="77777777" w:rsidR="00B84740" w:rsidRPr="009C1181" w:rsidRDefault="007E476D" w:rsidP="007A6A4F">
      <w:pPr>
        <w:pStyle w:val="Testocommento"/>
        <w:numPr>
          <w:ilvl w:val="0"/>
          <w:numId w:val="6"/>
        </w:numPr>
        <w:pBdr>
          <w:top w:val="nil"/>
          <w:left w:val="nil"/>
          <w:bottom w:val="nil"/>
          <w:right w:val="nil"/>
          <w:between w:val="nil"/>
          <w:bar w:val="nil"/>
        </w:pBdr>
        <w:spacing w:after="120"/>
        <w:jc w:val="both"/>
        <w:rPr>
          <w:rFonts w:ascii="Times New Roman" w:hAnsi="Times New Roman" w:cs="Times New Roman"/>
          <w:sz w:val="24"/>
          <w:szCs w:val="24"/>
        </w:rPr>
      </w:pPr>
      <w:r w:rsidRPr="009C1181">
        <w:rPr>
          <w:rFonts w:ascii="Times New Roman" w:hAnsi="Times New Roman" w:cs="Times New Roman"/>
          <w:sz w:val="24"/>
          <w:szCs w:val="24"/>
        </w:rPr>
        <w:t>i beni di particolare valore da tempo inutilizzati o in disuso</w:t>
      </w:r>
      <w:r w:rsidR="00593B08" w:rsidRPr="009C1181">
        <w:rPr>
          <w:rFonts w:ascii="Times New Roman" w:hAnsi="Times New Roman" w:cs="Times New Roman"/>
          <w:sz w:val="24"/>
          <w:szCs w:val="24"/>
        </w:rPr>
        <w:t>, anche mediante la loro acquisizione al patrimonio pubblico;</w:t>
      </w:r>
    </w:p>
    <w:p w14:paraId="34056B41" w14:textId="77777777" w:rsidR="00665894" w:rsidRPr="00455C4F" w:rsidRDefault="00B84740" w:rsidP="007A6A4F">
      <w:pPr>
        <w:pStyle w:val="Testocommento"/>
        <w:numPr>
          <w:ilvl w:val="0"/>
          <w:numId w:val="6"/>
        </w:numPr>
        <w:pBdr>
          <w:top w:val="nil"/>
          <w:left w:val="nil"/>
          <w:bottom w:val="nil"/>
          <w:right w:val="nil"/>
          <w:between w:val="nil"/>
          <w:bar w:val="nil"/>
        </w:pBdr>
        <w:spacing w:after="120"/>
        <w:jc w:val="both"/>
        <w:rPr>
          <w:rFonts w:ascii="Times New Roman" w:hAnsi="Times New Roman" w:cs="Times New Roman"/>
          <w:sz w:val="24"/>
          <w:szCs w:val="24"/>
        </w:rPr>
      </w:pPr>
      <w:r w:rsidRPr="009C1181">
        <w:rPr>
          <w:rFonts w:ascii="Times New Roman" w:hAnsi="Times New Roman" w:cs="Times New Roman"/>
          <w:sz w:val="24"/>
          <w:szCs w:val="24"/>
        </w:rPr>
        <w:t>riutilizzo e riconversione del vasto patrimonio di edilizia abitativa provvisoria realizzato nell’immediato post sisma sia del 2009 (progetto C.A.S.E.) sia 2016 (S.A.E.);</w:t>
      </w:r>
      <w:r w:rsidR="007E476D" w:rsidRPr="009C1181">
        <w:rPr>
          <w:rFonts w:ascii="Times New Roman" w:hAnsi="Times New Roman" w:cs="Times New Roman"/>
          <w:sz w:val="24"/>
          <w:szCs w:val="24"/>
        </w:rPr>
        <w:t xml:space="preserve"> </w:t>
      </w:r>
    </w:p>
    <w:p w14:paraId="4EF067FE" w14:textId="77777777" w:rsidR="007E476D" w:rsidRPr="0040128A" w:rsidRDefault="007E476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40128A">
        <w:rPr>
          <w:rFonts w:ascii="Times New Roman" w:hAnsi="Times New Roman" w:cs="Times New Roman"/>
          <w:sz w:val="24"/>
          <w:szCs w:val="24"/>
        </w:rPr>
        <w:t>la definizione di nuove modalità dell’abitare anche in relazione alla speciale attenzione riservata agli spazi outdoor a seguito della crisi pandemica, attraverso la riorganizzazione dei tessuti insediativi per garantire l’accesso e la prossimità agli spazi pubblici e ai servizi essenziali;</w:t>
      </w:r>
    </w:p>
    <w:p w14:paraId="77D24AC5" w14:textId="77777777" w:rsidR="00D45F88" w:rsidRPr="00D45F88" w:rsidRDefault="00D45F88"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D45F88">
        <w:rPr>
          <w:rFonts w:ascii="Times New Roman" w:hAnsi="Times New Roman" w:cs="Times New Roman"/>
          <w:sz w:val="24"/>
          <w:szCs w:val="24"/>
        </w:rPr>
        <w:lastRenderedPageBreak/>
        <w:t xml:space="preserve">la valorizzazione e rifunzionalizzazione degli edifici e spazi pubblici, con particolare attenzione al patrimonio del Demanio, per finalità formative, sociali, culturali e legate alla promozione del territorio; </w:t>
      </w:r>
    </w:p>
    <w:p w14:paraId="598B5D0D" w14:textId="77777777" w:rsidR="007E476D" w:rsidRPr="009C1181" w:rsidRDefault="007E476D" w:rsidP="007A6A4F">
      <w:pPr>
        <w:pStyle w:val="Testocommento"/>
        <w:numPr>
          <w:ilvl w:val="0"/>
          <w:numId w:val="5"/>
        </w:numPr>
        <w:pBdr>
          <w:top w:val="nil"/>
          <w:left w:val="nil"/>
          <w:bottom w:val="nil"/>
          <w:right w:val="nil"/>
          <w:between w:val="nil"/>
          <w:bar w:val="nil"/>
        </w:pBdr>
        <w:spacing w:after="120"/>
        <w:jc w:val="both"/>
        <w:rPr>
          <w:rFonts w:ascii="Times New Roman" w:hAnsi="Times New Roman" w:cs="Times New Roman"/>
          <w:sz w:val="24"/>
          <w:szCs w:val="24"/>
        </w:rPr>
      </w:pPr>
      <w:r w:rsidRPr="009C1181">
        <w:rPr>
          <w:rFonts w:ascii="Times New Roman" w:hAnsi="Times New Roman" w:cs="Times New Roman"/>
          <w:sz w:val="24"/>
          <w:szCs w:val="24"/>
        </w:rPr>
        <w:t>la riorganizzazione degli spazi pubblici, agendo sul ridisegno degli spazi aperti sia in relazione al rischio sismic</w:t>
      </w:r>
      <w:r w:rsidR="009C1181" w:rsidRPr="007537D5">
        <w:rPr>
          <w:rFonts w:ascii="Times New Roman" w:hAnsi="Times New Roman" w:cs="Times New Roman"/>
          <w:sz w:val="24"/>
          <w:szCs w:val="24"/>
        </w:rPr>
        <w:t>o,</w:t>
      </w:r>
      <w:r w:rsidRPr="009C1181">
        <w:rPr>
          <w:rFonts w:ascii="Times New Roman" w:hAnsi="Times New Roman" w:cs="Times New Roman"/>
          <w:sz w:val="24"/>
          <w:szCs w:val="24"/>
        </w:rPr>
        <w:t xml:space="preserve"> ma anche alle soluzioni per accrescere il comfort outdoor (vedi mappe con esemplificazioni progettuali di sistemi di utilizzo degli spazi aperti urbani), migliorare la qualità delle relazioni sociali e della ricreazione;</w:t>
      </w:r>
    </w:p>
    <w:p w14:paraId="527DB4BB" w14:textId="77777777" w:rsidR="007E476D" w:rsidRPr="0040128A" w:rsidRDefault="007E476D" w:rsidP="007A6A4F">
      <w:pPr>
        <w:pStyle w:val="Testocommento"/>
        <w:numPr>
          <w:ilvl w:val="0"/>
          <w:numId w:val="5"/>
        </w:numPr>
        <w:pBdr>
          <w:top w:val="nil"/>
          <w:left w:val="nil"/>
          <w:bottom w:val="nil"/>
          <w:right w:val="nil"/>
          <w:between w:val="nil"/>
          <w:bar w:val="nil"/>
        </w:pBdr>
        <w:spacing w:after="120"/>
        <w:jc w:val="both"/>
        <w:rPr>
          <w:rFonts w:ascii="Times New Roman" w:hAnsi="Times New Roman" w:cs="Times New Roman"/>
          <w:sz w:val="24"/>
          <w:szCs w:val="24"/>
        </w:rPr>
      </w:pPr>
      <w:r w:rsidRPr="0040128A">
        <w:rPr>
          <w:rFonts w:ascii="Times New Roman" w:hAnsi="Times New Roman" w:cs="Times New Roman"/>
          <w:sz w:val="24"/>
          <w:szCs w:val="24"/>
        </w:rPr>
        <w:t>l’avvio di un percorso, a media-lunga scadenza, di messa in sicurezza dell’intero patrimonio edilizio esistente (vedi mappe del patrimonio edilizio interessato dai processi di ricostruzione fisica e di quella parte di patrimonio esclusa dai finanziamenti per la ricostruzione);</w:t>
      </w:r>
    </w:p>
    <w:p w14:paraId="3B8B512F" w14:textId="77777777" w:rsidR="009C1181" w:rsidRPr="00455C4F" w:rsidRDefault="007E476D" w:rsidP="007A6A4F">
      <w:pPr>
        <w:pStyle w:val="Testocommento"/>
        <w:numPr>
          <w:ilvl w:val="0"/>
          <w:numId w:val="5"/>
        </w:numPr>
        <w:pBdr>
          <w:top w:val="nil"/>
          <w:left w:val="nil"/>
          <w:bottom w:val="nil"/>
          <w:right w:val="nil"/>
          <w:between w:val="nil"/>
          <w:bar w:val="nil"/>
        </w:pBdr>
        <w:spacing w:after="120"/>
        <w:jc w:val="both"/>
        <w:rPr>
          <w:rFonts w:ascii="Times New Roman" w:hAnsi="Times New Roman" w:cs="Times New Roman"/>
          <w:color w:val="000000"/>
          <w:sz w:val="24"/>
          <w:szCs w:val="24"/>
          <w:u w:color="000000"/>
        </w:rPr>
      </w:pPr>
      <w:r w:rsidRPr="0040128A">
        <w:rPr>
          <w:rFonts w:ascii="Times New Roman" w:hAnsi="Times New Roman" w:cs="Times New Roman"/>
          <w:sz w:val="24"/>
          <w:szCs w:val="24"/>
        </w:rPr>
        <w:t>l’avvio di un percorso, a media-lunga scadenza</w:t>
      </w:r>
      <w:r>
        <w:rPr>
          <w:rFonts w:ascii="Times New Roman" w:hAnsi="Times New Roman" w:cs="Times New Roman"/>
          <w:sz w:val="24"/>
          <w:szCs w:val="24"/>
        </w:rPr>
        <w:t>,</w:t>
      </w:r>
      <w:r w:rsidRPr="0040128A">
        <w:rPr>
          <w:rFonts w:ascii="Times New Roman" w:hAnsi="Times New Roman" w:cs="Times New Roman"/>
          <w:sz w:val="24"/>
          <w:szCs w:val="24"/>
        </w:rPr>
        <w:t xml:space="preserve"> di realizzazione di città </w:t>
      </w:r>
      <w:r w:rsidR="0016753C" w:rsidRPr="0040128A">
        <w:rPr>
          <w:rFonts w:ascii="Times New Roman" w:hAnsi="Times New Roman" w:cs="Times New Roman"/>
          <w:sz w:val="24"/>
          <w:szCs w:val="24"/>
        </w:rPr>
        <w:t>e</w:t>
      </w:r>
      <w:r w:rsidRPr="0040128A">
        <w:rPr>
          <w:rFonts w:ascii="Times New Roman" w:hAnsi="Times New Roman" w:cs="Times New Roman"/>
          <w:sz w:val="24"/>
          <w:szCs w:val="24"/>
        </w:rPr>
        <w:t xml:space="preserve"> edifici meno energivori, </w:t>
      </w:r>
      <w:r w:rsidRPr="0040128A">
        <w:rPr>
          <w:rFonts w:ascii="Times New Roman" w:hAnsi="Times New Roman" w:cs="Times New Roman"/>
          <w:color w:val="000000"/>
          <w:sz w:val="24"/>
          <w:szCs w:val="24"/>
          <w:u w:color="000000"/>
        </w:rPr>
        <w:t xml:space="preserve">con aumento della quota di energia da FER, </w:t>
      </w:r>
      <w:r w:rsidRPr="009C1181">
        <w:rPr>
          <w:rFonts w:ascii="Times New Roman" w:hAnsi="Times New Roman" w:cs="Times New Roman"/>
          <w:color w:val="000000"/>
          <w:sz w:val="24"/>
          <w:szCs w:val="24"/>
          <w:u w:color="000000"/>
        </w:rPr>
        <w:t>raggiungimento della tipologia NZEB per le nuove costruzioni e certificazione nell'ambito dei protocolli di sostenibilità energetico-ambientale</w:t>
      </w:r>
      <w:r w:rsidR="00455C4F">
        <w:rPr>
          <w:rFonts w:ascii="Times New Roman" w:hAnsi="Times New Roman" w:cs="Times New Roman"/>
          <w:color w:val="000000"/>
          <w:sz w:val="24"/>
          <w:szCs w:val="24"/>
          <w:u w:color="000000"/>
        </w:rPr>
        <w:t>.</w:t>
      </w:r>
    </w:p>
    <w:p w14:paraId="6AB65D73" w14:textId="77777777" w:rsidR="00D60A22" w:rsidRPr="00D60A22" w:rsidRDefault="00D60A22" w:rsidP="003D3CA6">
      <w:pPr>
        <w:pStyle w:val="Testocommento"/>
        <w:pBdr>
          <w:top w:val="nil"/>
          <w:left w:val="nil"/>
          <w:bottom w:val="nil"/>
          <w:right w:val="nil"/>
          <w:between w:val="nil"/>
          <w:bar w:val="nil"/>
        </w:pBdr>
        <w:spacing w:after="0"/>
        <w:jc w:val="both"/>
        <w:rPr>
          <w:rFonts w:cs="Times New Roman"/>
          <w:i/>
          <w:iCs/>
          <w:sz w:val="24"/>
          <w:szCs w:val="24"/>
        </w:rPr>
      </w:pPr>
    </w:p>
    <w:p w14:paraId="712BFBC3" w14:textId="77777777" w:rsidR="007E476D" w:rsidRPr="004F0254" w:rsidRDefault="007E476D" w:rsidP="00062345">
      <w:pPr>
        <w:pStyle w:val="Testocommento"/>
        <w:numPr>
          <w:ilvl w:val="1"/>
          <w:numId w:val="19"/>
        </w:numPr>
        <w:pBdr>
          <w:top w:val="nil"/>
          <w:left w:val="nil"/>
          <w:bottom w:val="nil"/>
          <w:right w:val="nil"/>
          <w:between w:val="nil"/>
          <w:bar w:val="nil"/>
        </w:pBdr>
        <w:spacing w:after="0"/>
        <w:jc w:val="both"/>
        <w:rPr>
          <w:rFonts w:cs="Times New Roman"/>
          <w:i/>
        </w:rPr>
      </w:pPr>
      <w:r w:rsidRPr="004F0254">
        <w:rPr>
          <w:rFonts w:ascii="Times New Roman" w:hAnsi="Times New Roman" w:cs="Times New Roman"/>
          <w:b/>
          <w:bCs/>
          <w:i/>
          <w:color w:val="4472C4" w:themeColor="accent1"/>
          <w:sz w:val="24"/>
          <w:szCs w:val="24"/>
        </w:rPr>
        <w:t>Riorganizzazione policentrica dei servizi al territorio e relativa infrastrutturazione digitale</w:t>
      </w:r>
    </w:p>
    <w:p w14:paraId="3F6652C3" w14:textId="77777777" w:rsidR="008E35E5" w:rsidRPr="00382E41" w:rsidRDefault="008E35E5" w:rsidP="004F0254">
      <w:pPr>
        <w:pStyle w:val="Testocommento"/>
        <w:pBdr>
          <w:top w:val="nil"/>
          <w:left w:val="nil"/>
          <w:bottom w:val="nil"/>
          <w:right w:val="nil"/>
          <w:between w:val="nil"/>
          <w:bar w:val="nil"/>
        </w:pBdr>
        <w:spacing w:after="0"/>
        <w:ind w:left="1080"/>
        <w:jc w:val="both"/>
        <w:rPr>
          <w:rFonts w:cs="Times New Roman"/>
          <w:i/>
          <w:sz w:val="24"/>
          <w:szCs w:val="24"/>
        </w:rPr>
      </w:pPr>
    </w:p>
    <w:p w14:paraId="5381E478" w14:textId="77777777" w:rsidR="00665894" w:rsidRPr="003E4C1E" w:rsidRDefault="007E476D" w:rsidP="003E4C1E">
      <w:pPr>
        <w:pStyle w:val="DidefaultAA"/>
        <w:spacing w:after="120"/>
        <w:jc w:val="both"/>
        <w:rPr>
          <w:rFonts w:ascii="Times New Roman" w:hAnsi="Times New Roman" w:cs="Times New Roman"/>
          <w:sz w:val="24"/>
          <w:szCs w:val="24"/>
          <w:lang w:val="it-IT"/>
        </w:rPr>
      </w:pPr>
      <w:r>
        <w:rPr>
          <w:rFonts w:ascii="Times New Roman" w:hAnsi="Times New Roman" w:cs="Times New Roman"/>
          <w:sz w:val="24"/>
          <w:szCs w:val="24"/>
          <w:lang w:val="it-IT"/>
        </w:rPr>
        <w:tab/>
      </w:r>
      <w:r w:rsidRPr="0040487F">
        <w:rPr>
          <w:rFonts w:ascii="Times New Roman" w:hAnsi="Times New Roman" w:cs="Times New Roman"/>
          <w:sz w:val="24"/>
          <w:szCs w:val="24"/>
          <w:lang w:val="it-IT"/>
        </w:rPr>
        <w:t>Questa seconda posizione</w:t>
      </w:r>
      <w:r>
        <w:rPr>
          <w:rFonts w:ascii="Times New Roman" w:hAnsi="Times New Roman" w:cs="Times New Roman"/>
          <w:sz w:val="24"/>
          <w:szCs w:val="24"/>
          <w:lang w:val="it-IT"/>
        </w:rPr>
        <w:t xml:space="preserve">, da sviluppare in forma integrata con la prima, </w:t>
      </w:r>
      <w:r w:rsidRPr="0040487F">
        <w:rPr>
          <w:rFonts w:ascii="Times New Roman" w:hAnsi="Times New Roman" w:cs="Times New Roman"/>
          <w:sz w:val="24"/>
          <w:szCs w:val="24"/>
          <w:lang w:val="it-IT"/>
        </w:rPr>
        <w:t xml:space="preserve">si pone in coerenza con l’obiettivo generale </w:t>
      </w:r>
      <w:r w:rsidR="006622C6">
        <w:rPr>
          <w:rFonts w:ascii="Times New Roman" w:hAnsi="Times New Roman" w:cs="Times New Roman"/>
          <w:sz w:val="24"/>
          <w:szCs w:val="24"/>
          <w:lang w:val="it-IT"/>
        </w:rPr>
        <w:t>della prima</w:t>
      </w:r>
      <w:r w:rsidRPr="0040487F">
        <w:rPr>
          <w:rFonts w:ascii="Times New Roman" w:hAnsi="Times New Roman" w:cs="Times New Roman"/>
          <w:sz w:val="24"/>
          <w:szCs w:val="24"/>
          <w:lang w:val="it-IT"/>
        </w:rPr>
        <w:t xml:space="preserve"> linea strategica. Le azioni da porre in atto per attuare l’obiettivo generale succitato debbono trovare un raccordo fecondo con la SNAI (Strategia Nazionale Aree Interne) che sta già operando, da una decina di anni, nell’Appennino centrale, per l’attuazione degli APQ (Accordi di Programma Quadro, definiti in sede di strategia), ricadenti in buona parte dell’area del cratere</w:t>
      </w:r>
      <w:r>
        <w:rPr>
          <w:rFonts w:ascii="Times New Roman" w:hAnsi="Times New Roman" w:cs="Times New Roman"/>
          <w:sz w:val="24"/>
          <w:szCs w:val="24"/>
          <w:lang w:val="it-IT"/>
        </w:rPr>
        <w:t>.</w:t>
      </w:r>
      <w:r w:rsidRPr="0040487F">
        <w:rPr>
          <w:rFonts w:ascii="Times New Roman" w:hAnsi="Times New Roman" w:cs="Times New Roman"/>
          <w:sz w:val="24"/>
          <w:szCs w:val="24"/>
          <w:lang w:val="it-IT"/>
        </w:rPr>
        <w:t xml:space="preserve"> </w:t>
      </w:r>
      <w:r>
        <w:rPr>
          <w:rFonts w:ascii="Times New Roman" w:hAnsi="Times New Roman" w:cs="Times New Roman"/>
          <w:sz w:val="24"/>
          <w:szCs w:val="24"/>
          <w:lang w:val="it-IT"/>
        </w:rPr>
        <w:t>L</w:t>
      </w:r>
      <w:r w:rsidRPr="0040487F">
        <w:rPr>
          <w:rFonts w:ascii="Times New Roman" w:hAnsi="Times New Roman" w:cs="Times New Roman"/>
          <w:sz w:val="24"/>
          <w:szCs w:val="24"/>
          <w:lang w:val="it-IT"/>
        </w:rPr>
        <w:t xml:space="preserve">’intento </w:t>
      </w:r>
      <w:r>
        <w:rPr>
          <w:rFonts w:ascii="Times New Roman" w:hAnsi="Times New Roman" w:cs="Times New Roman"/>
          <w:sz w:val="24"/>
          <w:szCs w:val="24"/>
          <w:lang w:val="it-IT"/>
        </w:rPr>
        <w:t xml:space="preserve">è quello </w:t>
      </w:r>
      <w:r w:rsidRPr="0040487F">
        <w:rPr>
          <w:rFonts w:ascii="Times New Roman" w:hAnsi="Times New Roman" w:cs="Times New Roman"/>
          <w:sz w:val="24"/>
          <w:szCs w:val="24"/>
          <w:lang w:val="it-IT"/>
        </w:rPr>
        <w:t xml:space="preserve">di ridefinire i sistemi di interazione tra aree </w:t>
      </w:r>
      <w:r>
        <w:rPr>
          <w:rFonts w:ascii="Times New Roman" w:hAnsi="Times New Roman" w:cs="Times New Roman"/>
          <w:sz w:val="24"/>
          <w:szCs w:val="24"/>
          <w:lang w:val="it-IT"/>
        </w:rPr>
        <w:t xml:space="preserve">urbane e </w:t>
      </w:r>
      <w:r w:rsidRPr="0040487F">
        <w:rPr>
          <w:rFonts w:ascii="Times New Roman" w:hAnsi="Times New Roman" w:cs="Times New Roman"/>
          <w:sz w:val="24"/>
          <w:szCs w:val="24"/>
          <w:lang w:val="it-IT"/>
        </w:rPr>
        <w:t>periurbane</w:t>
      </w:r>
      <w:r>
        <w:rPr>
          <w:rFonts w:ascii="Times New Roman" w:hAnsi="Times New Roman" w:cs="Times New Roman"/>
          <w:sz w:val="24"/>
          <w:szCs w:val="24"/>
          <w:lang w:val="it-IT"/>
        </w:rPr>
        <w:t>,</w:t>
      </w:r>
      <w:r w:rsidRPr="0040487F">
        <w:rPr>
          <w:rFonts w:ascii="Times New Roman" w:hAnsi="Times New Roman" w:cs="Times New Roman"/>
          <w:sz w:val="24"/>
          <w:szCs w:val="24"/>
          <w:lang w:val="it-IT"/>
        </w:rPr>
        <w:t xml:space="preserve"> di valle e di costa</w:t>
      </w:r>
      <w:r>
        <w:rPr>
          <w:rFonts w:ascii="Times New Roman" w:hAnsi="Times New Roman" w:cs="Times New Roman"/>
          <w:sz w:val="24"/>
          <w:szCs w:val="24"/>
          <w:lang w:val="it-IT"/>
        </w:rPr>
        <w:t>,</w:t>
      </w:r>
      <w:r w:rsidRPr="0040487F">
        <w:rPr>
          <w:rFonts w:ascii="Times New Roman" w:hAnsi="Times New Roman" w:cs="Times New Roman"/>
          <w:sz w:val="24"/>
          <w:szCs w:val="24"/>
          <w:lang w:val="it-IT"/>
        </w:rPr>
        <w:t xml:space="preserve"> con borghi e piccole città dell’entroterra, introducendo il concetto dei “livelli minimi di cittadinanza”, essenziali per poter vivere in questi luoghi e innescare eventuali nuove tendenze al ripopolamento. Una spinta nella direzione della riorganizzazione dei servizi è sollecitata anche dalla legge 158/2017 “Misure per il sostegno e la valorizzazione dei piccoli comuni, nonché disposizioni per la riqualificazione e il recupero dei centri storici dei medesimi comuni”.</w:t>
      </w:r>
    </w:p>
    <w:p w14:paraId="3926C36F" w14:textId="77777777" w:rsidR="00665894" w:rsidRDefault="007E476D" w:rsidP="003E4C1E">
      <w:pPr>
        <w:pStyle w:val="Didefaul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20"/>
        <w:jc w:val="both"/>
        <w:rPr>
          <w:rFonts w:ascii="Times New Roman" w:hAnsi="Times New Roman"/>
          <w:sz w:val="24"/>
          <w:szCs w:val="24"/>
          <w:lang w:val="it-IT"/>
        </w:rPr>
      </w:pPr>
      <w:r>
        <w:rPr>
          <w:rFonts w:ascii="Times New Roman" w:hAnsi="Times New Roman" w:cs="Times New Roman"/>
          <w:sz w:val="24"/>
          <w:szCs w:val="24"/>
          <w:lang w:val="it-IT"/>
        </w:rPr>
        <w:tab/>
      </w:r>
      <w:r w:rsidRPr="009C1181">
        <w:rPr>
          <w:rFonts w:ascii="Times New Roman" w:hAnsi="Times New Roman" w:cs="Times New Roman"/>
          <w:sz w:val="24"/>
          <w:szCs w:val="24"/>
          <w:lang w:val="it-IT"/>
        </w:rPr>
        <w:t xml:space="preserve">Lo sviluppo di servizi </w:t>
      </w:r>
      <w:r w:rsidR="009C1181" w:rsidRPr="007537D5">
        <w:rPr>
          <w:rFonts w:ascii="Times New Roman" w:hAnsi="Times New Roman" w:cs="Times New Roman"/>
          <w:sz w:val="24"/>
          <w:szCs w:val="24"/>
          <w:lang w:val="it-IT"/>
        </w:rPr>
        <w:t>alla persona</w:t>
      </w:r>
      <w:r w:rsidRPr="009C1181">
        <w:rPr>
          <w:rFonts w:ascii="Times New Roman" w:hAnsi="Times New Roman" w:cs="Times New Roman"/>
          <w:sz w:val="24"/>
          <w:szCs w:val="24"/>
          <w:lang w:val="it-IT"/>
        </w:rPr>
        <w:t xml:space="preserve"> formativi, mobilità e superamento del </w:t>
      </w:r>
      <w:proofErr w:type="spellStart"/>
      <w:r w:rsidRPr="009C1181">
        <w:rPr>
          <w:rFonts w:ascii="Times New Roman" w:hAnsi="Times New Roman" w:cs="Times New Roman"/>
          <w:i/>
          <w:iCs/>
          <w:sz w:val="24"/>
          <w:szCs w:val="24"/>
          <w:lang w:val="it-IT"/>
        </w:rPr>
        <w:t>digital</w:t>
      </w:r>
      <w:proofErr w:type="spellEnd"/>
      <w:r w:rsidRPr="009C1181">
        <w:rPr>
          <w:rFonts w:ascii="Times New Roman" w:hAnsi="Times New Roman" w:cs="Times New Roman"/>
          <w:i/>
          <w:iCs/>
          <w:sz w:val="24"/>
          <w:szCs w:val="24"/>
          <w:lang w:val="it-IT"/>
        </w:rPr>
        <w:t xml:space="preserve"> divide</w:t>
      </w:r>
      <w:r w:rsidRPr="009C1181">
        <w:rPr>
          <w:rFonts w:ascii="Times New Roman" w:hAnsi="Times New Roman" w:cs="Times New Roman"/>
          <w:sz w:val="24"/>
          <w:szCs w:val="24"/>
          <w:lang w:val="it-IT"/>
        </w:rPr>
        <w:t xml:space="preserve"> diventa, quindi, precondizione ad ogni ipotesi di rinascita </w:t>
      </w:r>
      <w:r w:rsidR="00F72E45" w:rsidRPr="009C1181">
        <w:rPr>
          <w:rFonts w:ascii="Times New Roman" w:hAnsi="Times New Roman" w:cs="Times New Roman"/>
          <w:sz w:val="24"/>
          <w:szCs w:val="24"/>
          <w:lang w:val="it-IT"/>
        </w:rPr>
        <w:t>socioeconomica</w:t>
      </w:r>
      <w:r w:rsidRPr="009C1181">
        <w:rPr>
          <w:rFonts w:ascii="Times New Roman" w:hAnsi="Times New Roman" w:cs="Times New Roman"/>
          <w:sz w:val="24"/>
          <w:szCs w:val="24"/>
          <w:lang w:val="it-IT"/>
        </w:rPr>
        <w:t xml:space="preserve">, dando vita, grazie al digitale, a sistemi efficaci di servizi in telematico. In tal senso, ad esempio, la riorganizzazione del sistema dei servizi </w:t>
      </w:r>
      <w:r w:rsidR="009C1181" w:rsidRPr="007537D5">
        <w:rPr>
          <w:rFonts w:ascii="Times New Roman" w:hAnsi="Times New Roman" w:cs="Times New Roman"/>
          <w:sz w:val="24"/>
          <w:szCs w:val="24"/>
          <w:lang w:val="it-IT"/>
        </w:rPr>
        <w:t xml:space="preserve">alla persona e </w:t>
      </w:r>
      <w:r w:rsidR="00593B08" w:rsidRPr="009C1181">
        <w:rPr>
          <w:rFonts w:ascii="Times New Roman" w:hAnsi="Times New Roman" w:cs="Times New Roman"/>
          <w:sz w:val="24"/>
          <w:szCs w:val="24"/>
          <w:lang w:val="it-IT"/>
        </w:rPr>
        <w:t>degli asili nido</w:t>
      </w:r>
      <w:r w:rsidRPr="009C1181">
        <w:rPr>
          <w:rFonts w:ascii="Times New Roman" w:hAnsi="Times New Roman" w:cs="Times New Roman"/>
          <w:sz w:val="24"/>
          <w:szCs w:val="24"/>
          <w:lang w:val="it-IT"/>
        </w:rPr>
        <w:t>, che possono divenire pietr</w:t>
      </w:r>
      <w:r w:rsidRPr="009C1181">
        <w:rPr>
          <w:rFonts w:ascii="Times New Roman" w:hAnsi="Times New Roman"/>
          <w:sz w:val="24"/>
          <w:szCs w:val="24"/>
          <w:lang w:val="it-IT"/>
        </w:rPr>
        <w:t xml:space="preserve">a angolare di una visione della montagna italiana e dell’Appennino in particolare, non può compiersi se non accompagnata da una rivoluzione culturale che ha l’ambizione di considerare tali edifici come luoghi di aggregazione per la comunità, nei quali promuovere le relazioni intergenerazionali, interculturali, la trasmissione dei </w:t>
      </w:r>
      <w:proofErr w:type="spellStart"/>
      <w:r w:rsidRPr="009C1181">
        <w:rPr>
          <w:rFonts w:ascii="Times New Roman" w:hAnsi="Times New Roman"/>
          <w:sz w:val="24"/>
          <w:szCs w:val="24"/>
          <w:lang w:val="it-IT"/>
        </w:rPr>
        <w:t>saperi</w:t>
      </w:r>
      <w:proofErr w:type="spellEnd"/>
      <w:r w:rsidRPr="009C1181">
        <w:rPr>
          <w:rFonts w:ascii="Times New Roman" w:hAnsi="Times New Roman"/>
          <w:sz w:val="24"/>
          <w:szCs w:val="24"/>
          <w:lang w:val="it-IT"/>
        </w:rPr>
        <w:t xml:space="preserve"> tradizionali e le attività ludiche e sportive.</w:t>
      </w:r>
      <w:r>
        <w:rPr>
          <w:rFonts w:ascii="Times New Roman" w:hAnsi="Times New Roman"/>
          <w:sz w:val="24"/>
          <w:szCs w:val="24"/>
          <w:lang w:val="it-IT"/>
        </w:rPr>
        <w:t xml:space="preserve"> </w:t>
      </w:r>
    </w:p>
    <w:p w14:paraId="1F244C1F" w14:textId="77777777" w:rsidR="007E476D" w:rsidRDefault="008E35E5" w:rsidP="003E4C1E">
      <w:pPr>
        <w:pStyle w:val="Didefaul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20"/>
        <w:jc w:val="both"/>
        <w:rPr>
          <w:rFonts w:ascii="Times New Roman" w:hAnsi="Times New Roman"/>
          <w:sz w:val="24"/>
          <w:szCs w:val="24"/>
          <w:lang w:val="it-IT"/>
        </w:rPr>
      </w:pPr>
      <w:r>
        <w:rPr>
          <w:rFonts w:ascii="Times New Roman" w:hAnsi="Times New Roman"/>
          <w:sz w:val="24"/>
          <w:szCs w:val="24"/>
          <w:lang w:val="it-IT"/>
        </w:rPr>
        <w:tab/>
      </w:r>
      <w:r w:rsidR="007E476D" w:rsidRPr="009C1181">
        <w:rPr>
          <w:rFonts w:ascii="Times New Roman" w:hAnsi="Times New Roman"/>
          <w:sz w:val="24"/>
          <w:szCs w:val="24"/>
          <w:lang w:val="it-IT"/>
        </w:rPr>
        <w:t>Pertanto, sono da realizzare scuole in rete, anche piccole, con programmi formativi coerenti con le vocazioni dei territori, al fine di favorire lo sviluppo delle competenze per l’inserimento nel mondo del lavoro. Senza la qualificazione dell’offerta dei servizi</w:t>
      </w:r>
      <w:r w:rsidR="009C1181" w:rsidRPr="007537D5">
        <w:rPr>
          <w:rFonts w:ascii="Times New Roman" w:hAnsi="Times New Roman"/>
          <w:sz w:val="24"/>
          <w:szCs w:val="24"/>
          <w:lang w:val="it-IT"/>
        </w:rPr>
        <w:t xml:space="preserve"> ai residenti</w:t>
      </w:r>
      <w:r w:rsidR="007E476D" w:rsidRPr="009C1181">
        <w:rPr>
          <w:rFonts w:ascii="Times New Roman" w:hAnsi="Times New Roman"/>
          <w:sz w:val="24"/>
          <w:szCs w:val="24"/>
          <w:lang w:val="it-IT"/>
        </w:rPr>
        <w:t>, l’Appennino non diventerà attrattivo per l’insediamento di nuove famiglie e rischia di diventare uno spazio frequentato, per motivi di svago e anche di lavoro, ma non abitato.</w:t>
      </w:r>
    </w:p>
    <w:p w14:paraId="4E891016" w14:textId="77777777" w:rsidR="00F10941" w:rsidRDefault="00F10941" w:rsidP="00C7076F">
      <w:pPr>
        <w:pStyle w:val="Didefaul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Times New Roman" w:hAnsi="Times New Roman"/>
          <w:sz w:val="24"/>
          <w:szCs w:val="24"/>
          <w:lang w:val="it-IT"/>
        </w:rPr>
      </w:pPr>
    </w:p>
    <w:p w14:paraId="7B3AF920" w14:textId="77777777" w:rsidR="007E476D" w:rsidRPr="004F0254" w:rsidRDefault="007E476D" w:rsidP="00062345">
      <w:pPr>
        <w:pStyle w:val="Testocommento"/>
        <w:numPr>
          <w:ilvl w:val="1"/>
          <w:numId w:val="19"/>
        </w:numPr>
        <w:pBdr>
          <w:top w:val="nil"/>
          <w:left w:val="nil"/>
          <w:bottom w:val="nil"/>
          <w:right w:val="nil"/>
          <w:between w:val="nil"/>
          <w:bar w:val="nil"/>
        </w:pBdr>
        <w:spacing w:after="0"/>
        <w:jc w:val="both"/>
        <w:rPr>
          <w:rFonts w:cs="Times New Roman"/>
          <w:i/>
        </w:rPr>
      </w:pPr>
      <w:r w:rsidRPr="004F0254">
        <w:rPr>
          <w:rFonts w:ascii="Times New Roman" w:hAnsi="Times New Roman" w:cs="Times New Roman"/>
          <w:b/>
          <w:bCs/>
          <w:i/>
          <w:color w:val="4472C4" w:themeColor="accent1"/>
          <w:sz w:val="24"/>
          <w:szCs w:val="24"/>
        </w:rPr>
        <w:t xml:space="preserve">Miglioramento delle connessioni e della mobilità  </w:t>
      </w:r>
    </w:p>
    <w:p w14:paraId="2074385D" w14:textId="77777777" w:rsidR="008E35E5" w:rsidRPr="000C0E5E" w:rsidRDefault="008E35E5" w:rsidP="004F0254">
      <w:pPr>
        <w:pStyle w:val="Testocommento"/>
        <w:pBdr>
          <w:top w:val="nil"/>
          <w:left w:val="nil"/>
          <w:bottom w:val="nil"/>
          <w:right w:val="nil"/>
          <w:between w:val="nil"/>
          <w:bar w:val="nil"/>
        </w:pBdr>
        <w:spacing w:after="0"/>
        <w:ind w:left="1080"/>
        <w:jc w:val="both"/>
        <w:rPr>
          <w:rFonts w:cs="Times New Roman"/>
          <w:sz w:val="24"/>
          <w:szCs w:val="24"/>
        </w:rPr>
      </w:pPr>
    </w:p>
    <w:p w14:paraId="25A30574" w14:textId="77777777" w:rsidR="007E476D" w:rsidRDefault="007E476D" w:rsidP="00D77B3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C771C2">
        <w:rPr>
          <w:rFonts w:ascii="Times New Roman" w:hAnsi="Times New Roman" w:cs="Times New Roman"/>
          <w:sz w:val="24"/>
          <w:szCs w:val="24"/>
        </w:rPr>
        <w:t xml:space="preserve">L’obiettivo generale di questa linea strategica è di ridurre la condizione di isolamento e marginalità delle aree più interne dell’Appennino, incrementando i livelli di connettività digitale e </w:t>
      </w:r>
      <w:r w:rsidRPr="00C771C2">
        <w:rPr>
          <w:rFonts w:ascii="Times New Roman" w:hAnsi="Times New Roman" w:cs="Times New Roman"/>
          <w:sz w:val="24"/>
          <w:szCs w:val="24"/>
        </w:rPr>
        <w:lastRenderedPageBreak/>
        <w:t xml:space="preserve">accessibilità fisica, attraverso sistemi di mobilità e trasporto intelligenti, sostenibili e integrati e quindi favorendo: </w:t>
      </w:r>
    </w:p>
    <w:p w14:paraId="7A14F96C" w14:textId="77777777" w:rsidR="007E476D" w:rsidRPr="0040128A" w:rsidRDefault="007E476D" w:rsidP="007A6A4F">
      <w:pPr>
        <w:pStyle w:val="Paragrafoelenco"/>
        <w:numPr>
          <w:ilvl w:val="0"/>
          <w:numId w:val="7"/>
        </w:numPr>
        <w:spacing w:after="120" w:line="240" w:lineRule="auto"/>
        <w:jc w:val="both"/>
        <w:rPr>
          <w:rFonts w:ascii="Times New Roman" w:hAnsi="Times New Roman" w:cs="Times New Roman"/>
          <w:sz w:val="24"/>
          <w:szCs w:val="24"/>
        </w:rPr>
      </w:pPr>
      <w:r w:rsidRPr="0040128A">
        <w:rPr>
          <w:rFonts w:ascii="Times New Roman" w:hAnsi="Times New Roman" w:cs="Times New Roman"/>
          <w:sz w:val="24"/>
          <w:szCs w:val="24"/>
        </w:rPr>
        <w:t xml:space="preserve">nuove connessioni digitali; </w:t>
      </w:r>
    </w:p>
    <w:p w14:paraId="11B18C9D" w14:textId="77777777" w:rsidR="007E476D" w:rsidRDefault="007E476D" w:rsidP="007A6A4F">
      <w:pPr>
        <w:pStyle w:val="Paragrafoelenco"/>
        <w:numPr>
          <w:ilvl w:val="0"/>
          <w:numId w:val="7"/>
        </w:numPr>
        <w:spacing w:after="120" w:line="240" w:lineRule="auto"/>
        <w:jc w:val="both"/>
        <w:rPr>
          <w:rFonts w:ascii="Times New Roman" w:hAnsi="Times New Roman" w:cs="Times New Roman"/>
          <w:sz w:val="24"/>
          <w:szCs w:val="24"/>
        </w:rPr>
      </w:pPr>
      <w:r w:rsidRPr="0040128A">
        <w:rPr>
          <w:rFonts w:ascii="Times New Roman" w:hAnsi="Times New Roman" w:cs="Times New Roman"/>
          <w:sz w:val="24"/>
          <w:szCs w:val="24"/>
        </w:rPr>
        <w:t xml:space="preserve">mobilità alternativa, sostenibile e integrata con servizi innovativi di trasporto multimodale per residenti e visitatori. </w:t>
      </w:r>
    </w:p>
    <w:p w14:paraId="636C178F" w14:textId="77777777" w:rsidR="00814C18" w:rsidRPr="005C650A" w:rsidRDefault="00814C18" w:rsidP="00D77B3F">
      <w:pPr>
        <w:pStyle w:val="Paragrafoelenco"/>
        <w:spacing w:after="120" w:line="240" w:lineRule="auto"/>
        <w:ind w:left="1428"/>
        <w:jc w:val="both"/>
        <w:rPr>
          <w:rFonts w:ascii="Times New Roman" w:hAnsi="Times New Roman" w:cs="Times New Roman"/>
          <w:sz w:val="24"/>
          <w:szCs w:val="24"/>
        </w:rPr>
      </w:pPr>
    </w:p>
    <w:p w14:paraId="44D0AF73" w14:textId="77777777" w:rsidR="00604B5C" w:rsidRDefault="007E476D" w:rsidP="00D77B3F">
      <w:pPr>
        <w:pStyle w:val="Paragrafoelenco"/>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0128A">
        <w:rPr>
          <w:rFonts w:ascii="Times New Roman" w:hAnsi="Times New Roman" w:cs="Times New Roman"/>
          <w:sz w:val="24"/>
          <w:szCs w:val="24"/>
        </w:rPr>
        <w:t xml:space="preserve">Il raggiungimento di tale obiettivo permetterebbe di contrastare il binomio “scarsa connettività digitale-scarsa accessibilità fisica”, che rappresenta uno dei maggiori limiti allo sviluppo e alla qualità della vita dei territori dell’Italia centrale e, conseguentemente, di contribuire a rispondere alla sfida della decarbonizzazione indicata dall’Unione Europea con le strategie connesse allo </w:t>
      </w:r>
      <w:proofErr w:type="spellStart"/>
      <w:r w:rsidRPr="0040128A">
        <w:rPr>
          <w:rFonts w:ascii="Times New Roman" w:hAnsi="Times New Roman" w:cs="Times New Roman"/>
          <w:i/>
          <w:iCs/>
          <w:sz w:val="24"/>
          <w:szCs w:val="24"/>
        </w:rPr>
        <w:t>European</w:t>
      </w:r>
      <w:proofErr w:type="spellEnd"/>
      <w:r w:rsidRPr="0040128A">
        <w:rPr>
          <w:rFonts w:ascii="Times New Roman" w:hAnsi="Times New Roman" w:cs="Times New Roman"/>
          <w:i/>
          <w:iCs/>
          <w:sz w:val="24"/>
          <w:szCs w:val="24"/>
        </w:rPr>
        <w:t xml:space="preserve"> Green Deal </w:t>
      </w:r>
      <w:r w:rsidRPr="0040128A">
        <w:rPr>
          <w:rFonts w:ascii="Times New Roman" w:hAnsi="Times New Roman" w:cs="Times New Roman"/>
          <w:sz w:val="24"/>
          <w:szCs w:val="24"/>
        </w:rPr>
        <w:t xml:space="preserve">e di raggiungere gli obiettivi di sviluppo sostenibile individuati dall’agenda 2030 delle Nazioni Unite. La mancanza di infrastrutture di rete e di adeguati livelli di accessibilità fisica e digitale, infatti, può limitare le possibilità di insediamento di nuove attività imprenditoriali, il riutilizzo del patrimonio edilizio storico e diffuso per nuovi usi, lo sviluppo e l’innovazione dei servizi al cittadino. </w:t>
      </w:r>
    </w:p>
    <w:p w14:paraId="14E7BB34" w14:textId="77777777" w:rsidR="00604B5C" w:rsidRDefault="00604B5C" w:rsidP="00D77B3F">
      <w:pPr>
        <w:pStyle w:val="Paragrafoelenco"/>
        <w:spacing w:after="120" w:line="240" w:lineRule="auto"/>
        <w:ind w:left="0"/>
        <w:jc w:val="both"/>
        <w:rPr>
          <w:rFonts w:ascii="Times New Roman" w:hAnsi="Times New Roman" w:cs="Times New Roman"/>
          <w:sz w:val="24"/>
          <w:szCs w:val="24"/>
        </w:rPr>
      </w:pPr>
    </w:p>
    <w:p w14:paraId="19056700" w14:textId="77777777" w:rsidR="00D77B3F" w:rsidRDefault="008E35E5" w:rsidP="002910B1">
      <w:pPr>
        <w:pStyle w:val="Paragrafoelenco"/>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07D11" w:rsidRPr="0040128A">
        <w:rPr>
          <w:rFonts w:ascii="Times New Roman" w:hAnsi="Times New Roman" w:cs="Times New Roman"/>
          <w:sz w:val="24"/>
          <w:szCs w:val="24"/>
        </w:rPr>
        <w:t>L</w:t>
      </w:r>
      <w:r w:rsidR="00907D11">
        <w:rPr>
          <w:rFonts w:ascii="Times New Roman" w:hAnsi="Times New Roman" w:cs="Times New Roman"/>
          <w:sz w:val="24"/>
          <w:szCs w:val="24"/>
        </w:rPr>
        <w:t>e</w:t>
      </w:r>
      <w:r w:rsidR="00907D11" w:rsidRPr="0040128A">
        <w:rPr>
          <w:rFonts w:ascii="Times New Roman" w:hAnsi="Times New Roman" w:cs="Times New Roman"/>
          <w:sz w:val="24"/>
          <w:szCs w:val="24"/>
        </w:rPr>
        <w:t xml:space="preserve"> </w:t>
      </w:r>
      <w:r w:rsidR="007E476D" w:rsidRPr="0040128A">
        <w:rPr>
          <w:rFonts w:ascii="Times New Roman" w:hAnsi="Times New Roman" w:cs="Times New Roman"/>
          <w:sz w:val="24"/>
          <w:szCs w:val="24"/>
        </w:rPr>
        <w:t xml:space="preserve">azioni da introdurre per attuare questo obiettivo riguardano, quindi, l’incremento della dotazione di infrastrutture di rete e la riorganizzazione complessiva del sistema della mobilità e accessibilità ai borghi, ai piccoli insediamenti e alle mete naturali e culturali diffuse sul territorio. </w:t>
      </w:r>
    </w:p>
    <w:p w14:paraId="7F4D2BCF" w14:textId="77777777" w:rsidR="002910B1" w:rsidRDefault="002910B1" w:rsidP="002910B1">
      <w:pPr>
        <w:pStyle w:val="Paragrafoelenco"/>
        <w:spacing w:after="120" w:line="240" w:lineRule="auto"/>
        <w:ind w:left="0"/>
        <w:jc w:val="both"/>
        <w:rPr>
          <w:rFonts w:ascii="Times New Roman" w:hAnsi="Times New Roman" w:cs="Times New Roman"/>
          <w:sz w:val="24"/>
          <w:szCs w:val="24"/>
        </w:rPr>
      </w:pPr>
    </w:p>
    <w:p w14:paraId="4E96A8F9" w14:textId="77777777" w:rsidR="007E476D" w:rsidRPr="0040128A" w:rsidRDefault="007E476D" w:rsidP="002910B1">
      <w:pPr>
        <w:pStyle w:val="Paragrafoelenco"/>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0128A">
        <w:rPr>
          <w:rFonts w:ascii="Times New Roman" w:hAnsi="Times New Roman" w:cs="Times New Roman"/>
          <w:sz w:val="24"/>
          <w:szCs w:val="24"/>
        </w:rPr>
        <w:t xml:space="preserve">Più specificatamente, gli interventi riguardano in particolare: </w:t>
      </w:r>
    </w:p>
    <w:p w14:paraId="04DD2D34" w14:textId="77777777" w:rsidR="002910B1" w:rsidRPr="002910B1" w:rsidRDefault="007E476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2910B1">
        <w:rPr>
          <w:rFonts w:ascii="Times New Roman" w:hAnsi="Times New Roman" w:cs="Times New Roman"/>
          <w:sz w:val="24"/>
          <w:szCs w:val="24"/>
        </w:rPr>
        <w:t>il potenziamento della rete delle infrastrutture a banda ultralarga, che deve essere adeguata</w:t>
      </w:r>
      <w:r w:rsidR="004E7E8C">
        <w:rPr>
          <w:rFonts w:ascii="Times New Roman" w:hAnsi="Times New Roman" w:cs="Times New Roman"/>
          <w:sz w:val="24"/>
          <w:szCs w:val="24"/>
        </w:rPr>
        <w:t xml:space="preserve"> </w:t>
      </w:r>
      <w:proofErr w:type="gramStart"/>
      <w:r w:rsidRPr="002910B1">
        <w:rPr>
          <w:rFonts w:ascii="Times New Roman" w:hAnsi="Times New Roman" w:cs="Times New Roman"/>
          <w:sz w:val="24"/>
          <w:szCs w:val="24"/>
        </w:rPr>
        <w:t>per</w:t>
      </w:r>
      <w:proofErr w:type="gramEnd"/>
      <w:r w:rsidR="002910B1">
        <w:rPr>
          <w:rFonts w:ascii="Times New Roman" w:hAnsi="Times New Roman" w:cs="Times New Roman"/>
          <w:sz w:val="24"/>
          <w:szCs w:val="24"/>
        </w:rPr>
        <w:t xml:space="preserve"> </w:t>
      </w:r>
      <w:r w:rsidRPr="002910B1">
        <w:rPr>
          <w:rFonts w:ascii="Times New Roman" w:hAnsi="Times New Roman" w:cs="Times New Roman"/>
          <w:sz w:val="24"/>
          <w:szCs w:val="24"/>
        </w:rPr>
        <w:t xml:space="preserve">sostenere la competitività e l’attrattività dei territori, in particolare di quelli più interni e marginali (piena realizzazione della strategia nazionale di infrastrutturazione a banda ultralarga). Questa azione permette di creare le precondizioni per l’utilizzo di Internet of things (IoT) anche nel governo dei processi urbani dei centri dell’area colpita dal sisma, per la transizione verso </w:t>
      </w:r>
      <w:r w:rsidRPr="004E7E8C">
        <w:rPr>
          <w:rFonts w:ascii="Times New Roman" w:hAnsi="Times New Roman" w:cs="Times New Roman"/>
          <w:i/>
          <w:sz w:val="24"/>
          <w:szCs w:val="24"/>
        </w:rPr>
        <w:t xml:space="preserve">Smart </w:t>
      </w:r>
      <w:proofErr w:type="spellStart"/>
      <w:r w:rsidRPr="004E7E8C">
        <w:rPr>
          <w:rFonts w:ascii="Times New Roman" w:hAnsi="Times New Roman" w:cs="Times New Roman"/>
          <w:i/>
          <w:sz w:val="24"/>
          <w:szCs w:val="24"/>
        </w:rPr>
        <w:t>cities</w:t>
      </w:r>
      <w:proofErr w:type="spellEnd"/>
      <w:r w:rsidRPr="002910B1">
        <w:rPr>
          <w:rFonts w:ascii="Times New Roman" w:hAnsi="Times New Roman" w:cs="Times New Roman"/>
          <w:sz w:val="24"/>
          <w:szCs w:val="24"/>
        </w:rPr>
        <w:t xml:space="preserve"> e </w:t>
      </w:r>
      <w:r w:rsidRPr="004E7E8C">
        <w:rPr>
          <w:rFonts w:ascii="Times New Roman" w:hAnsi="Times New Roman" w:cs="Times New Roman"/>
          <w:i/>
          <w:sz w:val="24"/>
          <w:szCs w:val="24"/>
        </w:rPr>
        <w:t xml:space="preserve">Smart </w:t>
      </w:r>
      <w:proofErr w:type="spellStart"/>
      <w:r w:rsidRPr="004E7E8C">
        <w:rPr>
          <w:rFonts w:ascii="Times New Roman" w:hAnsi="Times New Roman" w:cs="Times New Roman"/>
          <w:i/>
          <w:sz w:val="24"/>
          <w:szCs w:val="24"/>
        </w:rPr>
        <w:t>Villages</w:t>
      </w:r>
      <w:proofErr w:type="spellEnd"/>
      <w:r w:rsidRPr="002910B1">
        <w:rPr>
          <w:rFonts w:ascii="Times New Roman" w:hAnsi="Times New Roman" w:cs="Times New Roman"/>
          <w:sz w:val="24"/>
          <w:szCs w:val="24"/>
        </w:rPr>
        <w:t xml:space="preserve"> e per attuare, quindi, la transizione verde</w:t>
      </w:r>
      <w:r w:rsidR="00593B08" w:rsidRPr="002910B1">
        <w:rPr>
          <w:rFonts w:ascii="Times New Roman" w:hAnsi="Times New Roman" w:cs="Times New Roman"/>
          <w:sz w:val="24"/>
          <w:szCs w:val="24"/>
        </w:rPr>
        <w:t xml:space="preserve"> e digitale</w:t>
      </w:r>
      <w:r w:rsidRPr="002910B1">
        <w:rPr>
          <w:rFonts w:ascii="Times New Roman" w:hAnsi="Times New Roman" w:cs="Times New Roman"/>
          <w:sz w:val="24"/>
          <w:szCs w:val="24"/>
        </w:rPr>
        <w:t xml:space="preserve"> attraverso una nuova organizzazione (digitale) degli insediamenti;</w:t>
      </w:r>
    </w:p>
    <w:p w14:paraId="341BE814" w14:textId="77777777" w:rsidR="007E476D" w:rsidRPr="002910B1" w:rsidRDefault="007E476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2910B1">
        <w:rPr>
          <w:rFonts w:ascii="Times New Roman" w:hAnsi="Times New Roman" w:cs="Times New Roman"/>
          <w:sz w:val="24"/>
          <w:szCs w:val="24"/>
        </w:rPr>
        <w:t xml:space="preserve">la messa in </w:t>
      </w:r>
      <w:r w:rsidRPr="00277145">
        <w:rPr>
          <w:rFonts w:ascii="Times New Roman" w:hAnsi="Times New Roman" w:cs="Times New Roman"/>
          <w:sz w:val="24"/>
          <w:szCs w:val="24"/>
        </w:rPr>
        <w:t>sicurezza dell</w:t>
      </w:r>
      <w:r w:rsidR="00277145" w:rsidRPr="00277145">
        <w:rPr>
          <w:rFonts w:ascii="Times New Roman" w:hAnsi="Times New Roman" w:cs="Times New Roman"/>
          <w:sz w:val="24"/>
          <w:szCs w:val="24"/>
        </w:rPr>
        <w:t>a</w:t>
      </w:r>
      <w:r w:rsidRPr="00277145">
        <w:rPr>
          <w:rFonts w:ascii="Times New Roman" w:hAnsi="Times New Roman" w:cs="Times New Roman"/>
          <w:sz w:val="24"/>
          <w:szCs w:val="24"/>
        </w:rPr>
        <w:t xml:space="preserve"> rete ferroviaria, il potenziamento dei nodi, delle direttrici ferroviarie e delle reti regionali, sostenendo il processo di elettrificazione delle linee locali</w:t>
      </w:r>
      <w:r w:rsidR="00797866" w:rsidRPr="00277145">
        <w:rPr>
          <w:rFonts w:ascii="Times New Roman" w:hAnsi="Times New Roman" w:cs="Times New Roman"/>
          <w:sz w:val="24"/>
          <w:szCs w:val="24"/>
        </w:rPr>
        <w:t xml:space="preserve"> e la sperimentazione di forme innovative</w:t>
      </w:r>
      <w:r w:rsidR="00797866" w:rsidRPr="002910B1">
        <w:rPr>
          <w:rFonts w:ascii="Times New Roman" w:hAnsi="Times New Roman" w:cs="Times New Roman"/>
          <w:sz w:val="24"/>
          <w:szCs w:val="24"/>
        </w:rPr>
        <w:t xml:space="preserve"> di trasporto ferroviario come i treni all’idrogeno</w:t>
      </w:r>
      <w:r w:rsidRPr="002910B1">
        <w:rPr>
          <w:rFonts w:ascii="Times New Roman" w:hAnsi="Times New Roman" w:cs="Times New Roman"/>
          <w:sz w:val="24"/>
          <w:szCs w:val="24"/>
        </w:rPr>
        <w:t xml:space="preserve">; </w:t>
      </w:r>
    </w:p>
    <w:p w14:paraId="2DA305FB" w14:textId="77777777" w:rsidR="007E476D" w:rsidRPr="002910B1" w:rsidRDefault="007E476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2910B1">
        <w:rPr>
          <w:rFonts w:ascii="Times New Roman" w:hAnsi="Times New Roman" w:cs="Times New Roman"/>
          <w:sz w:val="24"/>
          <w:szCs w:val="24"/>
        </w:rPr>
        <w:t xml:space="preserve">il miglioramento dell’offerta dei collegamenti veloci e dei sistemi di trasporto pubblico di collegamento sovracomunale, con particolare attenzione al potenziamento delle intersezioni tra linee ferroviarie e sistemi locali di trasporto pubblico. Ciò permetterà di accrescere la capacità di spostamento veloce interno all’area e verso snodi di collegamento sovralocale; </w:t>
      </w:r>
    </w:p>
    <w:p w14:paraId="6229494B" w14:textId="77777777" w:rsidR="007E476D" w:rsidRPr="002910B1" w:rsidRDefault="007E476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2910B1">
        <w:rPr>
          <w:rFonts w:ascii="Times New Roman" w:hAnsi="Times New Roman" w:cs="Times New Roman"/>
          <w:sz w:val="24"/>
          <w:szCs w:val="24"/>
        </w:rPr>
        <w:t>la riorganizzazione del sistema di trasporto pubblico locale nelle aree più interne, attraverso una rete “diffusa e capillare” di nodi e servizi in grado di rispondere congiuntamente alle esigenze della popolazione residente e dei visitatori dell’area. L’idea è di riorganizzare il trasporto pubblico locale intorno a nodi scambiatori attrezzati con mezzi a basso impatto ambientale (auto e bici anche elettriche) per il trasporto pubblico dei cittadini residenti e dei visitatori, utilizzabili in modalità sharing ed interagenti con un sistema di trasporto a chiamata e sistemi di car pooling;</w:t>
      </w:r>
    </w:p>
    <w:p w14:paraId="64EDBDA7" w14:textId="77777777" w:rsidR="007E476D" w:rsidRPr="002910B1" w:rsidRDefault="007E476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2910B1">
        <w:rPr>
          <w:rFonts w:ascii="Times New Roman" w:hAnsi="Times New Roman" w:cs="Times New Roman"/>
          <w:sz w:val="24"/>
          <w:szCs w:val="24"/>
        </w:rPr>
        <w:t>la progressiva sostituzione dei mezzi del TPL con veicoli elettrici a basso impatto ambientale;</w:t>
      </w:r>
    </w:p>
    <w:p w14:paraId="0F918FBB" w14:textId="77777777" w:rsidR="007E476D" w:rsidRPr="002910B1" w:rsidRDefault="007E476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2910B1">
        <w:rPr>
          <w:rFonts w:ascii="Times New Roman" w:hAnsi="Times New Roman" w:cs="Times New Roman"/>
          <w:sz w:val="24"/>
          <w:szCs w:val="24"/>
        </w:rPr>
        <w:t>l’introduzione di nodi strategici di intersezione tra i territori più interni, maggiormente vocati allo spostamento lento, e i grandi sistemi delle percorrenze veloci di connessione con l’esterno, che si configurano come delle vere e proprie porte di accesso alle aree più interne, immaginati per offrire sistemi di trasporto sostenibili, informazioni turistiche e “vetrine” dei prodotti delle aree più interne;</w:t>
      </w:r>
    </w:p>
    <w:p w14:paraId="5E43A72A" w14:textId="77777777" w:rsidR="00797866" w:rsidRPr="002910B1" w:rsidRDefault="007E476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2910B1">
        <w:rPr>
          <w:rFonts w:ascii="Times New Roman" w:hAnsi="Times New Roman" w:cs="Times New Roman"/>
          <w:sz w:val="24"/>
          <w:szCs w:val="24"/>
        </w:rPr>
        <w:lastRenderedPageBreak/>
        <w:t>la riorganizzazione della rete sentieristica e degli itinerari, secondo un’ampia rete di mete culturali e naturalistiche diffuse, intercettando i punti di interscambio modale.</w:t>
      </w:r>
    </w:p>
    <w:p w14:paraId="6470D2DE" w14:textId="77777777" w:rsidR="007E476D" w:rsidRPr="007537D5" w:rsidRDefault="007E476D" w:rsidP="007537D5">
      <w:pPr>
        <w:pStyle w:val="Paragrafoelenco"/>
        <w:jc w:val="both"/>
        <w:rPr>
          <w:rFonts w:cs="Times New Roman"/>
          <w:i/>
          <w:iCs/>
          <w:highlight w:val="cyan"/>
        </w:rPr>
      </w:pPr>
    </w:p>
    <w:p w14:paraId="57567BF8" w14:textId="77777777" w:rsidR="007E476D" w:rsidRPr="00814C18" w:rsidRDefault="007E476D" w:rsidP="00062345">
      <w:pPr>
        <w:pStyle w:val="Testocommento"/>
        <w:numPr>
          <w:ilvl w:val="1"/>
          <w:numId w:val="19"/>
        </w:numPr>
        <w:pBdr>
          <w:top w:val="nil"/>
          <w:left w:val="nil"/>
          <w:bottom w:val="nil"/>
          <w:right w:val="nil"/>
          <w:between w:val="nil"/>
          <w:bar w:val="nil"/>
        </w:pBdr>
        <w:spacing w:after="0"/>
        <w:jc w:val="both"/>
        <w:rPr>
          <w:rFonts w:ascii="Times New Roman" w:hAnsi="Times New Roman" w:cs="Times New Roman"/>
          <w:i/>
          <w:sz w:val="24"/>
          <w:szCs w:val="24"/>
        </w:rPr>
      </w:pPr>
      <w:r w:rsidRPr="00F72E45">
        <w:rPr>
          <w:rFonts w:ascii="Times New Roman" w:hAnsi="Times New Roman" w:cs="Times New Roman"/>
          <w:b/>
          <w:bCs/>
          <w:i/>
          <w:color w:val="4472C4" w:themeColor="accent1"/>
          <w:sz w:val="24"/>
          <w:szCs w:val="24"/>
        </w:rPr>
        <w:t>Valorizzazione del patrimonio naturale, culturale e paesaggistico</w:t>
      </w:r>
    </w:p>
    <w:p w14:paraId="2BDEB375" w14:textId="77777777" w:rsidR="008E35E5" w:rsidRPr="00D36D29" w:rsidRDefault="008E35E5" w:rsidP="004F0254">
      <w:pPr>
        <w:pStyle w:val="Testocommento"/>
        <w:pBdr>
          <w:top w:val="nil"/>
          <w:left w:val="nil"/>
          <w:bottom w:val="nil"/>
          <w:right w:val="nil"/>
          <w:between w:val="nil"/>
          <w:bar w:val="nil"/>
        </w:pBdr>
        <w:spacing w:after="0"/>
        <w:ind w:left="1080"/>
        <w:jc w:val="both"/>
        <w:rPr>
          <w:rFonts w:ascii="Times New Roman" w:hAnsi="Times New Roman" w:cs="Times New Roman"/>
          <w:i/>
          <w:iCs/>
          <w:sz w:val="24"/>
          <w:szCs w:val="24"/>
        </w:rPr>
      </w:pPr>
    </w:p>
    <w:p w14:paraId="19976B98" w14:textId="77777777" w:rsidR="008E35E5" w:rsidRDefault="007E476D" w:rsidP="00D02AFA">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20"/>
        <w:jc w:val="both"/>
        <w:rPr>
          <w:rFonts w:ascii="Times New Roman" w:hAnsi="Times New Roman"/>
          <w:sz w:val="24"/>
          <w:szCs w:val="24"/>
        </w:rPr>
      </w:pPr>
      <w:r>
        <w:rPr>
          <w:rFonts w:ascii="Times New Roman" w:hAnsi="Times New Roman"/>
          <w:sz w:val="24"/>
          <w:szCs w:val="24"/>
        </w:rPr>
        <w:tab/>
        <w:t xml:space="preserve">L’obiettivo generale di questa linea strategica è la valorizzazione del paesaggio </w:t>
      </w:r>
      <w:r w:rsidR="00593B08">
        <w:rPr>
          <w:rFonts w:ascii="Times New Roman" w:hAnsi="Times New Roman"/>
          <w:sz w:val="24"/>
          <w:szCs w:val="24"/>
        </w:rPr>
        <w:t>dei crateri</w:t>
      </w:r>
      <w:r>
        <w:rPr>
          <w:rFonts w:ascii="Times New Roman" w:hAnsi="Times New Roman"/>
          <w:sz w:val="24"/>
          <w:szCs w:val="24"/>
        </w:rPr>
        <w:t xml:space="preserve">, formatosi nel tempo come interazione costante e continua tra patrimonio naturale e patrimonio culturale, attualmente un grande punto di forza per la rinascita di questo territorio, e si esplicita anche attraverso l’istituzione, consolidatosi nel tempo, di numerosi parchi nazionali e regionali, oltre a riserve naturali e siti d’importanza comunitaria. </w:t>
      </w:r>
    </w:p>
    <w:p w14:paraId="610762C2" w14:textId="77777777" w:rsidR="008E35E5" w:rsidRDefault="008E35E5" w:rsidP="00D02AFA">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20"/>
        <w:jc w:val="both"/>
        <w:rPr>
          <w:rFonts w:ascii="Times New Roman" w:hAnsi="Times New Roman"/>
          <w:sz w:val="24"/>
          <w:szCs w:val="24"/>
        </w:rPr>
      </w:pPr>
      <w:r>
        <w:rPr>
          <w:rFonts w:ascii="Times New Roman" w:hAnsi="Times New Roman"/>
          <w:sz w:val="24"/>
          <w:szCs w:val="24"/>
        </w:rPr>
        <w:tab/>
      </w:r>
      <w:r w:rsidR="007E476D">
        <w:rPr>
          <w:rFonts w:ascii="Times New Roman" w:hAnsi="Times New Roman"/>
          <w:sz w:val="24"/>
          <w:szCs w:val="24"/>
        </w:rPr>
        <w:t xml:space="preserve">Questo territorio si caratterizza per una grande varietà di situazioni e contesti paesaggisticamente differenti, accomunati da un minuto alternarsi tra insediamenti, infrastrutture, beni culturali sparsi e una matrice ambientale di fondo straordinariamente ricca di elementi di valore. L’immagine paesaggistica del territorio di intervento, molto più ampia della sua localizzazione fisica, rivela  le complesse interazioni storiche, morfologiche e simboliche che legano i beni storico-culturali al loro contesto naturale di appartenenza: gli antichi borghi edificati sulle colline coltivate; le rocche fortificate quali baluardi visibili dalla valle; gli eremi e le abbazie espressione di un legame secolare con le comunità; i luoghi dell’acqua e le aree protette in continuità morfologica tra gli Appennini e la costa. Una tale ricchezza storica e naturale, così articolata, suggerisce la realizzazione di progetti strutturati su reti fisiche e tecnologiche, per rafforzare le relazioni fra beni e contesto, nell’ottica di una conservazione attiva del territorio. </w:t>
      </w:r>
    </w:p>
    <w:p w14:paraId="7364A3AF" w14:textId="77777777" w:rsidR="007E476D" w:rsidRDefault="007E476D" w:rsidP="00D02AFA">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20"/>
        <w:jc w:val="both"/>
        <w:rPr>
          <w:rFonts w:ascii="Times New Roman" w:eastAsia="Times New Roman" w:hAnsi="Times New Roman" w:cs="Times New Roman"/>
          <w:sz w:val="24"/>
          <w:szCs w:val="24"/>
        </w:rPr>
      </w:pPr>
      <w:r>
        <w:rPr>
          <w:rFonts w:ascii="Times New Roman" w:hAnsi="Times New Roman"/>
          <w:sz w:val="24"/>
          <w:szCs w:val="24"/>
        </w:rPr>
        <w:tab/>
        <w:t>Due potrebbero essere gli ancoraggi per una strategia di rinascita:</w:t>
      </w:r>
    </w:p>
    <w:p w14:paraId="76E87066" w14:textId="77777777" w:rsidR="007E476D" w:rsidRDefault="007E476D" w:rsidP="007A6A4F">
      <w:pPr>
        <w:pStyle w:val="DidefaultA"/>
        <w:numPr>
          <w:ilvl w:val="0"/>
          <w:numId w:val="8"/>
        </w:numPr>
        <w:spacing w:after="120"/>
        <w:jc w:val="both"/>
        <w:rPr>
          <w:rFonts w:ascii="Times New Roman" w:eastAsia="Times New Roman" w:hAnsi="Times New Roman" w:cs="Times New Roman"/>
          <w:sz w:val="24"/>
          <w:szCs w:val="24"/>
        </w:rPr>
      </w:pPr>
      <w:r>
        <w:rPr>
          <w:rFonts w:ascii="Times New Roman" w:hAnsi="Times New Roman"/>
          <w:sz w:val="24"/>
          <w:szCs w:val="24"/>
        </w:rPr>
        <w:t xml:space="preserve">l’ampia diffusione di un sistema di beni naturali e culturali, strettamente rapportati al paesaggio generato dalla loro interazione, favorisce il ripristino di un legame tra comunità e territori, che può divenire vitale in un momento di dispersione delle comunità locali, qual è quello che si sta vivendo ora nell’area del cratere; </w:t>
      </w:r>
    </w:p>
    <w:p w14:paraId="4E2CF4C3" w14:textId="77777777" w:rsidR="007E476D" w:rsidRPr="00D02AFA" w:rsidRDefault="007E476D" w:rsidP="007A6A4F">
      <w:pPr>
        <w:pStyle w:val="DidefaultA"/>
        <w:numPr>
          <w:ilvl w:val="0"/>
          <w:numId w:val="8"/>
        </w:numPr>
        <w:spacing w:after="120"/>
        <w:jc w:val="both"/>
        <w:rPr>
          <w:rFonts w:ascii="Times New Roman" w:eastAsia="Times New Roman" w:hAnsi="Times New Roman" w:cs="Times New Roman"/>
          <w:sz w:val="24"/>
          <w:szCs w:val="24"/>
        </w:rPr>
      </w:pPr>
      <w:r>
        <w:rPr>
          <w:rFonts w:ascii="Times New Roman" w:hAnsi="Times New Roman"/>
          <w:sz w:val="24"/>
          <w:szCs w:val="24"/>
        </w:rPr>
        <w:t xml:space="preserve">il flusso essenziale di servizi </w:t>
      </w:r>
      <w:proofErr w:type="spellStart"/>
      <w:r>
        <w:rPr>
          <w:rFonts w:ascii="Times New Roman" w:hAnsi="Times New Roman"/>
          <w:sz w:val="24"/>
          <w:szCs w:val="24"/>
        </w:rPr>
        <w:t>ecosistemici</w:t>
      </w:r>
      <w:proofErr w:type="spellEnd"/>
      <w:r>
        <w:rPr>
          <w:rFonts w:ascii="Times New Roman" w:hAnsi="Times New Roman"/>
          <w:sz w:val="24"/>
          <w:szCs w:val="24"/>
        </w:rPr>
        <w:t xml:space="preserve"> (SE) generati nell’area del cratere – con particolare attenzione alle aree protette, definisce anche il contributo che le aree più interne possono dare – anche in una ottica di </w:t>
      </w:r>
      <w:r w:rsidRPr="0040128A">
        <w:rPr>
          <w:rFonts w:ascii="Times New Roman" w:hAnsi="Times New Roman"/>
          <w:i/>
          <w:iCs/>
          <w:sz w:val="24"/>
          <w:szCs w:val="24"/>
        </w:rPr>
        <w:t>Green Economy</w:t>
      </w:r>
      <w:r>
        <w:rPr>
          <w:rFonts w:ascii="Times New Roman" w:hAnsi="Times New Roman"/>
          <w:sz w:val="24"/>
          <w:szCs w:val="24"/>
        </w:rPr>
        <w:t xml:space="preserve"> – alle aree più urbanizzate.  La mappatura, su base spaziale, del capitale naturale e dei servizi </w:t>
      </w:r>
      <w:proofErr w:type="spellStart"/>
      <w:r>
        <w:rPr>
          <w:rFonts w:ascii="Times New Roman" w:hAnsi="Times New Roman"/>
          <w:sz w:val="24"/>
          <w:szCs w:val="24"/>
        </w:rPr>
        <w:t>ecosistemici</w:t>
      </w:r>
      <w:proofErr w:type="spellEnd"/>
      <w:r>
        <w:rPr>
          <w:rFonts w:ascii="Times New Roman" w:hAnsi="Times New Roman"/>
          <w:sz w:val="24"/>
          <w:szCs w:val="24"/>
        </w:rPr>
        <w:t xml:space="preserve"> dell’area del cratere, rende infatti possibile identificare i potenziali flussi dei servizi – anche in questo caso su base spaziale – in funzione delle potenziali tipologie di beneficiari.</w:t>
      </w:r>
    </w:p>
    <w:p w14:paraId="2DB6B27C" w14:textId="77777777" w:rsidR="007E476D" w:rsidRDefault="00D02AFA" w:rsidP="00D02AFA">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20"/>
        <w:jc w:val="both"/>
        <w:rPr>
          <w:rFonts w:ascii="Times New Roman" w:eastAsia="Times New Roman" w:hAnsi="Times New Roman" w:cs="Times New Roman"/>
          <w:sz w:val="24"/>
          <w:szCs w:val="24"/>
        </w:rPr>
      </w:pPr>
      <w:r>
        <w:rPr>
          <w:rFonts w:ascii="Times New Roman" w:hAnsi="Times New Roman"/>
          <w:sz w:val="24"/>
          <w:szCs w:val="24"/>
        </w:rPr>
        <w:tab/>
      </w:r>
      <w:r w:rsidR="007E476D">
        <w:rPr>
          <w:rFonts w:ascii="Times New Roman" w:hAnsi="Times New Roman"/>
          <w:sz w:val="24"/>
          <w:szCs w:val="24"/>
        </w:rPr>
        <w:t>In questa prospettiva, gli interventi potrebbero riguardare:</w:t>
      </w:r>
    </w:p>
    <w:p w14:paraId="54EA0A20" w14:textId="77777777" w:rsidR="007E476D" w:rsidRPr="00D60A22" w:rsidRDefault="007E476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D60A22">
        <w:rPr>
          <w:rFonts w:ascii="Times New Roman" w:hAnsi="Times New Roman" w:cs="Times New Roman"/>
          <w:sz w:val="24"/>
          <w:szCs w:val="24"/>
        </w:rPr>
        <w:t xml:space="preserve">il mantenimento di azioni di cura del territorio che sono fondanti la continua creazione di paesaggio e la preservazione di biodiversità anche favorendo la riconversione di processi di abbandono e spopolamento di alcune aree più marginali, attraverso il rilancio di economie circolari nel campo delle pratiche agricole, zootecniche e selvicoltura (interazione con la linea strategica n.5); </w:t>
      </w:r>
    </w:p>
    <w:p w14:paraId="3193479D" w14:textId="77777777" w:rsidR="007E476D" w:rsidRPr="00D60A22" w:rsidRDefault="007E476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D60A22">
        <w:rPr>
          <w:rFonts w:ascii="Times New Roman" w:hAnsi="Times New Roman" w:cs="Times New Roman"/>
          <w:sz w:val="24"/>
          <w:szCs w:val="24"/>
        </w:rPr>
        <w:t>l’innalzamento della qualità della vita e del benessere dei cittadini e dei visitatori, attraverso l’incremento dell’offerta di luoghi, spazi e attività per la fruizione e il tempo libero, strettamente legati ai beni naturali e culturali presenti e favorendo l’integrazione dei siti di pregio storico artistico e archeologico con il patrimonio culturale diffuso (beni naturalistici, enogastronomia, manifattura, borghi storici, ecc.);</w:t>
      </w:r>
    </w:p>
    <w:p w14:paraId="7A2F31A4" w14:textId="77777777" w:rsidR="007E476D" w:rsidRPr="00D60A22" w:rsidRDefault="007E476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D60A22">
        <w:rPr>
          <w:rFonts w:ascii="Times New Roman" w:hAnsi="Times New Roman" w:cs="Times New Roman"/>
          <w:sz w:val="24"/>
          <w:szCs w:val="24"/>
        </w:rPr>
        <w:t>la</w:t>
      </w:r>
      <w:r w:rsidR="00797866" w:rsidRPr="00D60A22">
        <w:rPr>
          <w:rFonts w:ascii="Times New Roman" w:hAnsi="Times New Roman" w:cs="Times New Roman"/>
          <w:sz w:val="24"/>
          <w:szCs w:val="24"/>
        </w:rPr>
        <w:t xml:space="preserve"> creazione di percorsi storico-culturali e la</w:t>
      </w:r>
      <w:r w:rsidRPr="00D60A22">
        <w:rPr>
          <w:rFonts w:ascii="Times New Roman" w:hAnsi="Times New Roman" w:cs="Times New Roman"/>
          <w:sz w:val="24"/>
          <w:szCs w:val="24"/>
        </w:rPr>
        <w:t xml:space="preserve"> riorganizzazione del sistema museale per aree, </w:t>
      </w:r>
    </w:p>
    <w:p w14:paraId="7F905816" w14:textId="77777777" w:rsidR="007E476D" w:rsidRPr="00D60A22" w:rsidRDefault="007E476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D60A22">
        <w:rPr>
          <w:rFonts w:ascii="Times New Roman" w:hAnsi="Times New Roman" w:cs="Times New Roman"/>
          <w:sz w:val="24"/>
          <w:szCs w:val="24"/>
        </w:rPr>
        <w:t>la creazione di percorsi di visita virtual</w:t>
      </w:r>
      <w:r w:rsidR="00797866" w:rsidRPr="00D60A22">
        <w:rPr>
          <w:rFonts w:ascii="Times New Roman" w:hAnsi="Times New Roman" w:cs="Times New Roman"/>
          <w:sz w:val="24"/>
          <w:szCs w:val="24"/>
        </w:rPr>
        <w:t xml:space="preserve">i per la </w:t>
      </w:r>
      <w:r w:rsidR="00FB0C88" w:rsidRPr="00D60A22">
        <w:rPr>
          <w:rFonts w:ascii="Times New Roman" w:hAnsi="Times New Roman" w:cs="Times New Roman"/>
          <w:sz w:val="24"/>
          <w:szCs w:val="24"/>
        </w:rPr>
        <w:t>fruizione</w:t>
      </w:r>
      <w:r w:rsidR="00797866" w:rsidRPr="00D60A22">
        <w:rPr>
          <w:rFonts w:ascii="Times New Roman" w:hAnsi="Times New Roman" w:cs="Times New Roman"/>
          <w:sz w:val="24"/>
          <w:szCs w:val="24"/>
        </w:rPr>
        <w:t xml:space="preserve"> del patrimonio storico artistico, </w:t>
      </w:r>
      <w:r w:rsidR="00FB0C88" w:rsidRPr="00D60A22">
        <w:rPr>
          <w:rFonts w:ascii="Times New Roman" w:hAnsi="Times New Roman" w:cs="Times New Roman"/>
          <w:sz w:val="24"/>
          <w:szCs w:val="24"/>
        </w:rPr>
        <w:t>nonché</w:t>
      </w:r>
      <w:r w:rsidR="008959EF" w:rsidRPr="00D60A22">
        <w:rPr>
          <w:rFonts w:ascii="Times New Roman" w:hAnsi="Times New Roman" w:cs="Times New Roman"/>
          <w:sz w:val="24"/>
          <w:szCs w:val="24"/>
        </w:rPr>
        <w:t xml:space="preserve"> per </w:t>
      </w:r>
      <w:r w:rsidRPr="00D60A22">
        <w:rPr>
          <w:rFonts w:ascii="Times New Roman" w:hAnsi="Times New Roman" w:cs="Times New Roman"/>
          <w:sz w:val="24"/>
          <w:szCs w:val="24"/>
        </w:rPr>
        <w:t xml:space="preserve">i musei ed i beni architettonici dei quali non si prevede l’immediata riapertura </w:t>
      </w:r>
      <w:r w:rsidRPr="00D60A22">
        <w:rPr>
          <w:rFonts w:ascii="Times New Roman" w:hAnsi="Times New Roman" w:cs="Times New Roman"/>
          <w:sz w:val="24"/>
          <w:szCs w:val="24"/>
        </w:rPr>
        <w:lastRenderedPageBreak/>
        <w:t xml:space="preserve">anche con l’applicazione delle ICT e dell’edutainment, con premialità legate alla compartecipazione delle PMI del settore culturale e creativo, favorendo quindi lo sviluppo della tecnologia al servizio dei beni culturali, considerando le numerose esperienze positive già in essere di riproduzione virtuale delle opere danneggiate; </w:t>
      </w:r>
    </w:p>
    <w:p w14:paraId="5F903967" w14:textId="77777777" w:rsidR="007E476D" w:rsidRPr="00D60A22" w:rsidRDefault="007E476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D60A22">
        <w:rPr>
          <w:rFonts w:ascii="Times New Roman" w:hAnsi="Times New Roman" w:cs="Times New Roman"/>
          <w:sz w:val="24"/>
          <w:szCs w:val="24"/>
        </w:rPr>
        <w:t>la promozione di progetti d’area di valorizzazione paesaggistica e fruitiva che prevedono la sperimentazione di usi innovativi (legati alla musealizzazione, alla cultura, al turismo, agli eventi temporanei, al teatro, all’arte contemporanea, a nuove forme di artigianato, ecc.) di spazi e beni di pregio ambientale e architettonico</w:t>
      </w:r>
      <w:r w:rsidR="00D02AFA" w:rsidRPr="00D60A22">
        <w:rPr>
          <w:rFonts w:ascii="Times New Roman" w:hAnsi="Times New Roman" w:cs="Times New Roman"/>
          <w:sz w:val="24"/>
          <w:szCs w:val="24"/>
        </w:rPr>
        <w:t>.</w:t>
      </w:r>
    </w:p>
    <w:p w14:paraId="3AF71689" w14:textId="77777777" w:rsidR="007E476D" w:rsidRPr="00C771C2" w:rsidRDefault="007E476D" w:rsidP="007E476D">
      <w:pPr>
        <w:pStyle w:val="CorpoA"/>
        <w:jc w:val="both"/>
        <w:rPr>
          <w:i/>
          <w:iCs/>
          <w:lang w:val="it-IT"/>
        </w:rPr>
      </w:pPr>
    </w:p>
    <w:p w14:paraId="342851BF" w14:textId="77777777" w:rsidR="007E476D" w:rsidRPr="00341EAE" w:rsidRDefault="007E476D" w:rsidP="00062345">
      <w:pPr>
        <w:pStyle w:val="Testocommento"/>
        <w:numPr>
          <w:ilvl w:val="1"/>
          <w:numId w:val="19"/>
        </w:numPr>
        <w:pBdr>
          <w:top w:val="nil"/>
          <w:left w:val="nil"/>
          <w:bottom w:val="nil"/>
          <w:right w:val="nil"/>
          <w:between w:val="nil"/>
          <w:bar w:val="nil"/>
        </w:pBdr>
        <w:spacing w:after="0"/>
        <w:jc w:val="both"/>
        <w:rPr>
          <w:rFonts w:ascii="Times New Roman" w:hAnsi="Times New Roman" w:cs="Times New Roman"/>
          <w:i/>
          <w:sz w:val="24"/>
          <w:szCs w:val="24"/>
        </w:rPr>
      </w:pPr>
      <w:r w:rsidRPr="00341EAE">
        <w:rPr>
          <w:rFonts w:ascii="Times New Roman" w:hAnsi="Times New Roman" w:cs="Times New Roman"/>
          <w:b/>
          <w:bCs/>
          <w:i/>
          <w:color w:val="4472C4" w:themeColor="accent1"/>
          <w:sz w:val="24"/>
          <w:szCs w:val="24"/>
        </w:rPr>
        <w:t xml:space="preserve">Riorganizzazione di agricoltura, zootecnia, silvicoltura e pesca </w:t>
      </w:r>
    </w:p>
    <w:p w14:paraId="09D4ED46" w14:textId="77777777" w:rsidR="008E35E5" w:rsidRPr="00341EAE" w:rsidRDefault="008E35E5" w:rsidP="00341EAE">
      <w:pPr>
        <w:pStyle w:val="Testocommento"/>
        <w:pBdr>
          <w:top w:val="nil"/>
          <w:left w:val="nil"/>
          <w:bottom w:val="nil"/>
          <w:right w:val="nil"/>
          <w:between w:val="nil"/>
          <w:bar w:val="nil"/>
        </w:pBdr>
        <w:spacing w:after="0"/>
        <w:ind w:left="1080"/>
        <w:jc w:val="both"/>
        <w:rPr>
          <w:rFonts w:ascii="Times New Roman" w:hAnsi="Times New Roman" w:cs="Times New Roman"/>
          <w:i/>
          <w:sz w:val="24"/>
          <w:szCs w:val="24"/>
        </w:rPr>
      </w:pPr>
    </w:p>
    <w:p w14:paraId="489F4496" w14:textId="77777777" w:rsidR="00814C18" w:rsidRDefault="007E476D" w:rsidP="002910B1">
      <w:pPr>
        <w:pStyle w:val="CorpoA"/>
        <w:spacing w:after="120"/>
        <w:jc w:val="both"/>
        <w:rPr>
          <w:lang w:val="it-IT"/>
        </w:rPr>
      </w:pPr>
      <w:r>
        <w:rPr>
          <w:lang w:val="it-IT"/>
        </w:rPr>
        <w:tab/>
        <w:t xml:space="preserve">In linea con il Piano d’azione europeo sull’economia circolare e l’iniziativa "Dal produttore al consumatore", fulcro dell'iniziativa </w:t>
      </w:r>
      <w:r w:rsidRPr="000E3A8B">
        <w:rPr>
          <w:i/>
          <w:iCs/>
          <w:lang w:val="it-IT"/>
        </w:rPr>
        <w:t>Green Deal</w:t>
      </w:r>
      <w:r>
        <w:rPr>
          <w:lang w:val="it-IT"/>
        </w:rPr>
        <w:t xml:space="preserve">, la presente linea strategica è orientata alla definizione di un nuovo e migliore equilibrio fra natura, sistemi alimentari, biodiversità e circolarità delle risorse. Per fare ciò, l’obiettivo di questa linea strategica è di creare filiere agroalimentari sostenibili, migliorando la competitività delle aziende e le loro prestazioni climatico-ambientali, rafforzando le infrastrutture logistiche del settore, riducendo le emissioni di gas serra e sostenendo la diffusione dell'agricoltura di precisione e l’ammodernamento dei macchinari impiegati, utilizzando </w:t>
      </w:r>
      <w:r>
        <w:rPr>
          <w:color w:val="000000"/>
          <w:u w:color="000000"/>
          <w:lang w:val="it-IT"/>
        </w:rPr>
        <w:t>al meglio nuove tecnologie</w:t>
      </w:r>
      <w:r>
        <w:rPr>
          <w:lang w:val="it-IT"/>
        </w:rPr>
        <w:t xml:space="preserve"> e i processi di digitalizzazione. </w:t>
      </w:r>
    </w:p>
    <w:p w14:paraId="21170423" w14:textId="77777777" w:rsidR="007E476D" w:rsidRDefault="008E35E5" w:rsidP="002910B1">
      <w:pPr>
        <w:pStyle w:val="CorpoA"/>
        <w:spacing w:after="120"/>
        <w:jc w:val="both"/>
        <w:rPr>
          <w:lang w:val="it-IT"/>
        </w:rPr>
      </w:pPr>
      <w:r>
        <w:rPr>
          <w:lang w:val="it-IT"/>
        </w:rPr>
        <w:tab/>
      </w:r>
      <w:r w:rsidR="007E476D">
        <w:rPr>
          <w:lang w:val="it-IT"/>
        </w:rPr>
        <w:t>L’agroalimentare rappresenta uno dei settori chiave dell’economia italiana e costituisce il tratto caratterizzante anche dell’identità del paese. Incidere sulle imprese del settore, avviando progetti pilota per una transizione verde</w:t>
      </w:r>
      <w:r w:rsidR="00593B08" w:rsidRPr="00593B08">
        <w:rPr>
          <w:lang w:val="it-IT"/>
        </w:rPr>
        <w:t xml:space="preserve"> </w:t>
      </w:r>
      <w:r w:rsidR="00593B08">
        <w:rPr>
          <w:lang w:val="it-IT"/>
        </w:rPr>
        <w:t>e digitale</w:t>
      </w:r>
      <w:r w:rsidR="007E476D">
        <w:rPr>
          <w:lang w:val="it-IT"/>
        </w:rPr>
        <w:t xml:space="preserve">, può avere ricadute significative anche su settori complementari, o a vario modo interrelati a questo. </w:t>
      </w:r>
    </w:p>
    <w:p w14:paraId="0B067DCC" w14:textId="77777777" w:rsidR="008959EF" w:rsidRDefault="007E476D" w:rsidP="002910B1">
      <w:pPr>
        <w:pStyle w:val="CorpoA"/>
        <w:spacing w:after="120"/>
        <w:jc w:val="both"/>
        <w:rPr>
          <w:lang w:val="it-IT"/>
        </w:rPr>
      </w:pPr>
      <w:r>
        <w:rPr>
          <w:lang w:val="it-IT"/>
        </w:rPr>
        <w:tab/>
        <w:t xml:space="preserve">La azioni da introdurre per attuare questo obiettivo riguardano, quindi: </w:t>
      </w:r>
    </w:p>
    <w:p w14:paraId="1314AEBD" w14:textId="77777777" w:rsidR="007E476D" w:rsidRPr="001F3862" w:rsidRDefault="007E476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1F3862">
        <w:rPr>
          <w:rFonts w:ascii="Times New Roman" w:hAnsi="Times New Roman" w:cs="Times New Roman"/>
          <w:sz w:val="24"/>
          <w:szCs w:val="24"/>
        </w:rPr>
        <w:t xml:space="preserve">la valorizzazione del binomio paesaggio-cibo, anche in chiave di valorizzazione turistica; </w:t>
      </w:r>
    </w:p>
    <w:p w14:paraId="1B8041E8" w14:textId="77777777" w:rsidR="008959EF" w:rsidRPr="00277145" w:rsidRDefault="008959EF"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277145">
        <w:rPr>
          <w:rFonts w:ascii="Times New Roman" w:hAnsi="Times New Roman" w:cs="Times New Roman"/>
          <w:sz w:val="24"/>
          <w:szCs w:val="24"/>
        </w:rPr>
        <w:t>la valorizzazione delle produzioni</w:t>
      </w:r>
      <w:r w:rsidR="00865E8F" w:rsidRPr="00277145">
        <w:rPr>
          <w:rFonts w:ascii="Times New Roman" w:hAnsi="Times New Roman" w:cs="Times New Roman"/>
          <w:sz w:val="24"/>
          <w:szCs w:val="24"/>
        </w:rPr>
        <w:t xml:space="preserve"> e</w:t>
      </w:r>
      <w:r w:rsidRPr="00277145">
        <w:rPr>
          <w:rFonts w:ascii="Times New Roman" w:hAnsi="Times New Roman" w:cs="Times New Roman"/>
          <w:sz w:val="24"/>
          <w:szCs w:val="24"/>
        </w:rPr>
        <w:t xml:space="preserve"> </w:t>
      </w:r>
      <w:r w:rsidR="00FD4CBB" w:rsidRPr="00277145">
        <w:rPr>
          <w:rFonts w:ascii="Times New Roman" w:hAnsi="Times New Roman" w:cs="Times New Roman"/>
          <w:sz w:val="24"/>
          <w:szCs w:val="24"/>
        </w:rPr>
        <w:t xml:space="preserve">delle tipicità agroalimentari, </w:t>
      </w:r>
      <w:r w:rsidRPr="00277145">
        <w:rPr>
          <w:rFonts w:ascii="Times New Roman" w:hAnsi="Times New Roman" w:cs="Times New Roman"/>
          <w:sz w:val="24"/>
          <w:szCs w:val="24"/>
        </w:rPr>
        <w:t>della vendita e del consumo dei prodotti agroalimentari</w:t>
      </w:r>
      <w:r w:rsidR="00FB0C88" w:rsidRPr="00277145">
        <w:rPr>
          <w:rFonts w:ascii="Times New Roman" w:hAnsi="Times New Roman" w:cs="Times New Roman"/>
          <w:sz w:val="24"/>
          <w:szCs w:val="24"/>
        </w:rPr>
        <w:t xml:space="preserve"> </w:t>
      </w:r>
      <w:r w:rsidRPr="00277145">
        <w:rPr>
          <w:rFonts w:ascii="Times New Roman" w:hAnsi="Times New Roman" w:cs="Times New Roman"/>
          <w:sz w:val="24"/>
          <w:szCs w:val="24"/>
        </w:rPr>
        <w:t xml:space="preserve">a km 0”; </w:t>
      </w:r>
    </w:p>
    <w:p w14:paraId="226D326E" w14:textId="77777777" w:rsidR="007E476D" w:rsidRPr="001F3862" w:rsidRDefault="007E476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1F3862">
        <w:rPr>
          <w:rFonts w:ascii="Times New Roman" w:hAnsi="Times New Roman" w:cs="Times New Roman"/>
          <w:sz w:val="24"/>
          <w:szCs w:val="24"/>
        </w:rPr>
        <w:t xml:space="preserve">il sostegno a progetti di ammodernamento </w:t>
      </w:r>
      <w:r w:rsidRPr="00277145">
        <w:rPr>
          <w:rFonts w:ascii="Times New Roman" w:hAnsi="Times New Roman" w:cs="Times New Roman"/>
          <w:sz w:val="24"/>
          <w:szCs w:val="24"/>
        </w:rPr>
        <w:t>delle</w:t>
      </w:r>
      <w:r w:rsidR="00277145">
        <w:rPr>
          <w:rFonts w:ascii="Times New Roman" w:hAnsi="Times New Roman" w:cs="Times New Roman"/>
          <w:sz w:val="24"/>
          <w:szCs w:val="24"/>
        </w:rPr>
        <w:t xml:space="preserve"> imprese</w:t>
      </w:r>
      <w:r w:rsidRPr="001F3862">
        <w:rPr>
          <w:rFonts w:ascii="Times New Roman" w:hAnsi="Times New Roman" w:cs="Times New Roman"/>
          <w:sz w:val="24"/>
          <w:szCs w:val="24"/>
        </w:rPr>
        <w:t xml:space="preserve"> del settore agroalimentare, promuovendo l’agricoltura multifunzionale, le soluzioni per l’accrescimento dell’innovazione e della competitività d’impresa, la creazione di distretti del biologico; </w:t>
      </w:r>
    </w:p>
    <w:p w14:paraId="523474EF" w14:textId="77777777" w:rsidR="007E476D" w:rsidRPr="001F3862" w:rsidRDefault="007E476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1F3862">
        <w:rPr>
          <w:rFonts w:ascii="Times New Roman" w:hAnsi="Times New Roman" w:cs="Times New Roman"/>
          <w:sz w:val="24"/>
          <w:szCs w:val="24"/>
        </w:rPr>
        <w:t>la riduzione dell'impatto ambientale del sistema dei trasporti nel settore agroalimentare, intervenendo sul traffico delle zone più congestionate;</w:t>
      </w:r>
    </w:p>
    <w:p w14:paraId="4176DFE6" w14:textId="77777777" w:rsidR="007E476D" w:rsidRPr="001F3862" w:rsidRDefault="007E476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1F3862">
        <w:rPr>
          <w:rFonts w:ascii="Times New Roman" w:hAnsi="Times New Roman" w:cs="Times New Roman"/>
          <w:sz w:val="24"/>
          <w:szCs w:val="24"/>
        </w:rPr>
        <w:t>la garanzia di tracciabilità dei prodotti, l’introduzione di certificazioni verdi della qualità dei prodotti e delle filiere e la creazione di marchi d’area, in grado anche di valorizzare i territori in relazione alle produzioni</w:t>
      </w:r>
      <w:r w:rsidR="001F3862">
        <w:rPr>
          <w:rFonts w:ascii="Times New Roman" w:hAnsi="Times New Roman" w:cs="Times New Roman"/>
          <w:sz w:val="24"/>
          <w:szCs w:val="24"/>
        </w:rPr>
        <w:t>.</w:t>
      </w:r>
    </w:p>
    <w:p w14:paraId="087843B0" w14:textId="77777777" w:rsidR="0013143D" w:rsidRDefault="0013143D" w:rsidP="007E476D">
      <w:pPr>
        <w:pStyle w:val="CorpoA"/>
        <w:jc w:val="both"/>
        <w:rPr>
          <w:i/>
          <w:lang w:val="it-IT"/>
        </w:rPr>
      </w:pPr>
    </w:p>
    <w:p w14:paraId="08C97535" w14:textId="77777777" w:rsidR="0013143D" w:rsidRPr="008E35E5" w:rsidRDefault="0013143D" w:rsidP="007E476D">
      <w:pPr>
        <w:pStyle w:val="CorpoA"/>
        <w:jc w:val="both"/>
        <w:rPr>
          <w:i/>
          <w:lang w:val="it-IT"/>
        </w:rPr>
      </w:pPr>
    </w:p>
    <w:p w14:paraId="33A2238F" w14:textId="77777777" w:rsidR="007E476D" w:rsidRPr="004F0254" w:rsidRDefault="007E476D" w:rsidP="00062345">
      <w:pPr>
        <w:pStyle w:val="Testocommento"/>
        <w:numPr>
          <w:ilvl w:val="1"/>
          <w:numId w:val="19"/>
        </w:numPr>
        <w:pBdr>
          <w:top w:val="nil"/>
          <w:left w:val="nil"/>
          <w:bottom w:val="nil"/>
          <w:right w:val="nil"/>
          <w:between w:val="nil"/>
          <w:bar w:val="nil"/>
        </w:pBdr>
        <w:spacing w:after="0"/>
        <w:jc w:val="both"/>
        <w:rPr>
          <w:rFonts w:ascii="Times New Roman" w:hAnsi="Times New Roman" w:cs="Times New Roman"/>
          <w:i/>
          <w:sz w:val="24"/>
          <w:szCs w:val="24"/>
        </w:rPr>
      </w:pPr>
      <w:r w:rsidRPr="004F0254">
        <w:rPr>
          <w:rFonts w:ascii="Times New Roman" w:hAnsi="Times New Roman" w:cs="Times New Roman"/>
          <w:b/>
          <w:bCs/>
          <w:i/>
          <w:color w:val="4472C4" w:themeColor="accent1"/>
          <w:sz w:val="24"/>
          <w:szCs w:val="24"/>
        </w:rPr>
        <w:t>Valorizzazione delle attività relative al terziario, con particolare attenzione al turismo, ed ai servizi sociali per il sostegno alla residenzialità</w:t>
      </w:r>
    </w:p>
    <w:p w14:paraId="6E3AEC5A" w14:textId="77777777" w:rsidR="008E35E5" w:rsidRPr="004F0254" w:rsidRDefault="008E35E5" w:rsidP="004F0254">
      <w:pPr>
        <w:pStyle w:val="Testocommento"/>
        <w:pBdr>
          <w:top w:val="nil"/>
          <w:left w:val="nil"/>
          <w:bottom w:val="nil"/>
          <w:right w:val="nil"/>
          <w:between w:val="nil"/>
          <w:bar w:val="nil"/>
        </w:pBdr>
        <w:spacing w:after="0"/>
        <w:ind w:left="1080"/>
        <w:jc w:val="both"/>
        <w:rPr>
          <w:rFonts w:ascii="Times New Roman" w:hAnsi="Times New Roman" w:cs="Times New Roman"/>
          <w:i/>
          <w:sz w:val="24"/>
          <w:szCs w:val="24"/>
        </w:rPr>
      </w:pPr>
    </w:p>
    <w:p w14:paraId="658A3CDE" w14:textId="77777777" w:rsidR="00DA501D" w:rsidRDefault="007E476D" w:rsidP="00D60A22">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20"/>
        <w:jc w:val="both"/>
        <w:rPr>
          <w:lang w:val="it-IT"/>
        </w:rPr>
      </w:pPr>
      <w:r>
        <w:rPr>
          <w:lang w:val="it-IT"/>
        </w:rPr>
        <w:tab/>
        <w:t xml:space="preserve">Il settore terziario è quello che, rispetto ad altri ambiti, come quello dell’agricoltura o delle costruzioni, ha sofferto di più in termini di contrazione occupazionale negli ultimi anni. Con alcune eccezioni (v. il caso dei servizi alle imprese, attività che registra la miglior capacità di reazione alla crisi pandemica), la situazione resta assai critica, trattandosi di un settore, in generale, molto dipendente dalla domanda locale, proveniente da residenti e turisti. </w:t>
      </w:r>
    </w:p>
    <w:p w14:paraId="034DFA60" w14:textId="77777777" w:rsidR="00814C18" w:rsidRDefault="00DA501D" w:rsidP="00D60A22">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20"/>
        <w:jc w:val="both"/>
        <w:rPr>
          <w:lang w:val="it-IT"/>
        </w:rPr>
      </w:pPr>
      <w:r>
        <w:rPr>
          <w:lang w:val="it-IT"/>
        </w:rPr>
        <w:lastRenderedPageBreak/>
        <w:tab/>
      </w:r>
      <w:r w:rsidR="007E476D">
        <w:rPr>
          <w:lang w:val="it-IT"/>
        </w:rPr>
        <w:t xml:space="preserve">Tuttavia, alcuni comparti, pur riducendosi, sono rimasti ancora ben attivi, e sembrano soprattutto dotati di una buona capacità di ripresa. Gli esempi principali sono il comparto legato al mondo della “conoscenza” e quello turistico, il principale comparto terziario non pubblico, che si trova peraltro ampiamente diffuso nelle zone più montane e rurali del cratere (infatti, la specializzazione relativa in ambito terziario nel cuore del cratere riguarda proprio l’ambito turistico). </w:t>
      </w:r>
    </w:p>
    <w:p w14:paraId="618AF3AA" w14:textId="77777777" w:rsidR="007E476D" w:rsidRDefault="00814C18" w:rsidP="00D60A22">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20"/>
        <w:jc w:val="both"/>
        <w:rPr>
          <w:lang w:val="it-IT"/>
        </w:rPr>
      </w:pPr>
      <w:r>
        <w:rPr>
          <w:lang w:val="it-IT"/>
        </w:rPr>
        <w:tab/>
      </w:r>
      <w:r w:rsidR="007E476D">
        <w:rPr>
          <w:lang w:val="it-IT"/>
        </w:rPr>
        <w:t xml:space="preserve">Al tempo stesso, va rafforzato il legame tra il rafforzamento delle condizioni per la residenzialità, in termini di servizi di innovazione sociale, e la promozione di una offerta turistica integrata in grado di collegare ambiente, beni culturali e nuove destinazioni. </w:t>
      </w:r>
    </w:p>
    <w:p w14:paraId="2AB2A2D8" w14:textId="77777777" w:rsidR="007E476D" w:rsidRDefault="007E476D" w:rsidP="00D60A22">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20"/>
        <w:jc w:val="both"/>
        <w:rPr>
          <w:lang w:val="it-IT"/>
        </w:rPr>
      </w:pPr>
      <w:r>
        <w:rPr>
          <w:lang w:val="it-IT"/>
        </w:rPr>
        <w:tab/>
        <w:t>L’obiettivo di questa linea strategica è, pertanto, sviluppare le potenzialità del settore terziario, attraverso una serie di interventi</w:t>
      </w:r>
      <w:r w:rsidR="0026514F">
        <w:rPr>
          <w:lang w:val="it-IT"/>
        </w:rPr>
        <w:t xml:space="preserve"> a sostegno dei servizi per il turismo</w:t>
      </w:r>
      <w:r>
        <w:rPr>
          <w:lang w:val="it-IT"/>
        </w:rPr>
        <w:t xml:space="preserve">: </w:t>
      </w:r>
    </w:p>
    <w:p w14:paraId="221DFA08" w14:textId="77777777" w:rsidR="007E476D" w:rsidRPr="00D60A22" w:rsidRDefault="007E476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D60A22">
        <w:rPr>
          <w:rFonts w:ascii="Times New Roman" w:hAnsi="Times New Roman" w:cs="Times New Roman"/>
          <w:sz w:val="24"/>
          <w:szCs w:val="24"/>
        </w:rPr>
        <w:t xml:space="preserve">la individuazione di reti storico-artistiche, naturali, paesaggistiche, enogastronomiche, ecc., per sostenere in particolare nuove forme di turismo sostenibili (e.g. il turismo tematico di tipo didattico-scientifico, sportivo, </w:t>
      </w:r>
      <w:r w:rsidR="00FB0C88" w:rsidRPr="00D60A22">
        <w:rPr>
          <w:rFonts w:ascii="Times New Roman" w:hAnsi="Times New Roman" w:cs="Times New Roman"/>
          <w:sz w:val="24"/>
          <w:szCs w:val="24"/>
        </w:rPr>
        <w:t xml:space="preserve">religioso, </w:t>
      </w:r>
      <w:r w:rsidRPr="00D60A22">
        <w:rPr>
          <w:rFonts w:ascii="Times New Roman" w:hAnsi="Times New Roman" w:cs="Times New Roman"/>
          <w:sz w:val="24"/>
          <w:szCs w:val="24"/>
        </w:rPr>
        <w:t>ecc.);</w:t>
      </w:r>
    </w:p>
    <w:p w14:paraId="730DDC45" w14:textId="77777777" w:rsidR="007E476D" w:rsidRPr="00277145" w:rsidRDefault="007E476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D60A22">
        <w:rPr>
          <w:rFonts w:ascii="Times New Roman" w:hAnsi="Times New Roman" w:cs="Times New Roman"/>
          <w:sz w:val="24"/>
          <w:szCs w:val="24"/>
        </w:rPr>
        <w:t xml:space="preserve">la promozione di sinergie tra le aree interne e gli ambiti di valle e di costa, per facilitare, in </w:t>
      </w:r>
      <w:r w:rsidRPr="00277145">
        <w:rPr>
          <w:rFonts w:ascii="Times New Roman" w:hAnsi="Times New Roman" w:cs="Times New Roman"/>
          <w:sz w:val="24"/>
          <w:szCs w:val="24"/>
        </w:rPr>
        <w:t xml:space="preserve">particolare, la destagionalizzazione dell’offerta; </w:t>
      </w:r>
    </w:p>
    <w:p w14:paraId="75C83B53" w14:textId="77777777" w:rsidR="007E476D" w:rsidRPr="00277145" w:rsidRDefault="007E476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277145">
        <w:rPr>
          <w:rFonts w:ascii="Times New Roman" w:hAnsi="Times New Roman" w:cs="Times New Roman"/>
          <w:sz w:val="24"/>
          <w:szCs w:val="24"/>
        </w:rPr>
        <w:t xml:space="preserve">la riconversione turistica di aree e strutture con destinazioni d’uso e vocazione originali differenti; </w:t>
      </w:r>
    </w:p>
    <w:p w14:paraId="1D98CD86" w14:textId="77777777" w:rsidR="007E476D" w:rsidRPr="00D60A22" w:rsidRDefault="007E476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D60A22">
        <w:rPr>
          <w:rFonts w:ascii="Times New Roman" w:hAnsi="Times New Roman" w:cs="Times New Roman"/>
          <w:sz w:val="24"/>
          <w:szCs w:val="24"/>
        </w:rPr>
        <w:t>il potenziamento della ricettività diffusa;</w:t>
      </w:r>
    </w:p>
    <w:p w14:paraId="0A115697" w14:textId="77777777" w:rsidR="007E476D" w:rsidRPr="00D60A22" w:rsidRDefault="007E476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D60A22">
        <w:rPr>
          <w:rFonts w:ascii="Times New Roman" w:hAnsi="Times New Roman" w:cs="Times New Roman"/>
          <w:sz w:val="24"/>
          <w:szCs w:val="24"/>
        </w:rPr>
        <w:t xml:space="preserve">la promozione di servizi destinati alla comunità, anche attraverso la funzione delle cooperative di comunità, e a migliorare la qualità dei servizi alla persona. </w:t>
      </w:r>
    </w:p>
    <w:p w14:paraId="56338837" w14:textId="77777777" w:rsidR="007E476D" w:rsidRPr="00F85AED" w:rsidRDefault="007E476D" w:rsidP="007E476D">
      <w:pPr>
        <w:pStyle w:val="CorpoA"/>
        <w:jc w:val="both"/>
        <w:rPr>
          <w:i/>
          <w:iCs/>
          <w:lang w:val="it-IT"/>
        </w:rPr>
      </w:pPr>
    </w:p>
    <w:p w14:paraId="11FD8A03" w14:textId="77777777" w:rsidR="008E35E5" w:rsidRPr="004F0254" w:rsidRDefault="007E476D" w:rsidP="00062345">
      <w:pPr>
        <w:pStyle w:val="CorpoA"/>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0" w:firstLine="720"/>
        <w:jc w:val="both"/>
        <w:rPr>
          <w:rFonts w:eastAsia="PMingLiU" w:cs="Times New Roman"/>
          <w:b/>
          <w:bCs/>
          <w:iCs/>
          <w:color w:val="4472C4" w:themeColor="accent1"/>
          <w:kern w:val="0"/>
          <w:bdr w:val="none" w:sz="0" w:space="0" w:color="auto"/>
          <w:lang w:val="it-IT"/>
        </w:rPr>
      </w:pPr>
      <w:r w:rsidRPr="004F0254">
        <w:rPr>
          <w:rFonts w:eastAsia="PMingLiU" w:cs="Times New Roman"/>
          <w:b/>
          <w:bCs/>
          <w:i/>
          <w:color w:val="4472C4" w:themeColor="accent1"/>
          <w:kern w:val="0"/>
          <w:bdr w:val="none" w:sz="0" w:space="0" w:color="auto"/>
          <w:lang w:val="it-IT"/>
        </w:rPr>
        <w:t>Innovazione della produzione manifatturiera e sostegno agli investimenti</w:t>
      </w:r>
    </w:p>
    <w:p w14:paraId="46A45B5F" w14:textId="77777777" w:rsidR="00DA501D" w:rsidRPr="00D36D29" w:rsidRDefault="007E476D" w:rsidP="00604B5C">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20"/>
        <w:ind w:firstLine="720"/>
        <w:jc w:val="both"/>
        <w:rPr>
          <w:rFonts w:eastAsia="PMingLiU" w:cs="Times New Roman"/>
          <w:b/>
          <w:bCs/>
          <w:iCs/>
          <w:color w:val="4472C4" w:themeColor="accent1"/>
          <w:kern w:val="0"/>
          <w:bdr w:val="none" w:sz="0" w:space="0" w:color="auto"/>
          <w:lang w:val="it-IT"/>
        </w:rPr>
      </w:pPr>
      <w:r w:rsidRPr="005C650A">
        <w:rPr>
          <w:rFonts w:cs="Times New Roman"/>
          <w:b/>
          <w:bCs/>
          <w:iCs/>
          <w:color w:val="4472C4" w:themeColor="accent1"/>
          <w:lang w:val="it-IT"/>
        </w:rPr>
        <w:t xml:space="preserve"> </w:t>
      </w:r>
      <w:r w:rsidRPr="00D36D29">
        <w:rPr>
          <w:rFonts w:cs="Times New Roman"/>
          <w:lang w:val="it-IT"/>
        </w:rPr>
        <w:br/>
      </w:r>
      <w:r w:rsidRPr="00593B08">
        <w:rPr>
          <w:lang w:val="it-IT"/>
        </w:rPr>
        <w:tab/>
        <w:t xml:space="preserve">L’analisi economica dell’area </w:t>
      </w:r>
      <w:r w:rsidR="0093424B" w:rsidRPr="00593B08">
        <w:rPr>
          <w:lang w:val="it-IT"/>
        </w:rPr>
        <w:t>de</w:t>
      </w:r>
      <w:r w:rsidR="0093424B">
        <w:rPr>
          <w:lang w:val="it-IT"/>
        </w:rPr>
        <w:t>i</w:t>
      </w:r>
      <w:r w:rsidR="0093424B" w:rsidRPr="00593B08">
        <w:rPr>
          <w:lang w:val="it-IT"/>
        </w:rPr>
        <w:t xml:space="preserve"> crater</w:t>
      </w:r>
      <w:r w:rsidR="0093424B">
        <w:rPr>
          <w:lang w:val="it-IT"/>
        </w:rPr>
        <w:t>i sismici</w:t>
      </w:r>
      <w:r w:rsidR="0093424B" w:rsidRPr="00593B08">
        <w:rPr>
          <w:lang w:val="it-IT"/>
        </w:rPr>
        <w:t xml:space="preserve"> </w:t>
      </w:r>
      <w:r w:rsidRPr="00593B08">
        <w:rPr>
          <w:lang w:val="it-IT"/>
        </w:rPr>
        <w:t>e dei territori limitrofi mostra come, negli ultimi dieci anni, si abbia avuto una perdita del PIL intorno al 12 per cento (del 10 per cento per quanto riguarda il valore aggiunto manifatturiero), a cui si lega una contestuale diminuzione del reddito disponibile e della popolazione residente, soprattutto nei comuni più colpiti dagli eventi sismici, i cui valori negativi superano, in media, il 30 per cento rispetto ai dati precedenti agli eventi sismici.</w:t>
      </w:r>
    </w:p>
    <w:p w14:paraId="2A5233E3" w14:textId="77777777" w:rsidR="007E476D" w:rsidRDefault="00DA501D" w:rsidP="00604B5C">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20"/>
        <w:ind w:firstLine="360"/>
        <w:jc w:val="both"/>
        <w:rPr>
          <w:i/>
          <w:iCs/>
          <w:lang w:val="it-IT"/>
        </w:rPr>
      </w:pPr>
      <w:r>
        <w:rPr>
          <w:lang w:val="it-IT"/>
        </w:rPr>
        <w:tab/>
      </w:r>
      <w:r w:rsidR="007E476D">
        <w:rPr>
          <w:lang w:val="it-IT"/>
        </w:rPr>
        <w:t>L’analisi dei dati e dei fenomeni mostra, quindi, come all’Italia del 2021, per tornare alla capacità di creare occupazione e valore aggiunto del 2007 (e a quel livello di ricchezza), occorra in primo luogo che le aree dell’Appennino centrale recuperino quella capacità di competere che è stata persa durante questi lunghi e difficili anni. La ripresa italiana non può essere la stessa se rimane “orfana” dell’Appennino centrale e del suo contributo.</w:t>
      </w:r>
      <w:r w:rsidR="007E476D">
        <w:rPr>
          <w:i/>
          <w:iCs/>
          <w:lang w:val="it-IT"/>
        </w:rPr>
        <w:t xml:space="preserve"> </w:t>
      </w:r>
    </w:p>
    <w:p w14:paraId="2E9D6648" w14:textId="77777777" w:rsidR="00024A3A" w:rsidRDefault="007E476D" w:rsidP="00604B5C">
      <w:pPr>
        <w:pStyle w:val="CorpoA"/>
        <w:spacing w:after="120"/>
        <w:jc w:val="both"/>
        <w:rPr>
          <w:lang w:val="it-IT"/>
        </w:rPr>
      </w:pPr>
      <w:r>
        <w:rPr>
          <w:i/>
          <w:iCs/>
          <w:lang w:val="it-IT"/>
        </w:rPr>
        <w:tab/>
      </w:r>
      <w:r>
        <w:rPr>
          <w:lang w:val="it-IT"/>
        </w:rPr>
        <w:t xml:space="preserve">Nonostante le difficoltà, i territori dell’Appennino centrale continuano ad avere una popolazione con una scolarità superiore alla media nazionale e contesti che hanno saputo mantenere una interessante capacità di creare valore aggiunto. Questa è un presupposto importante su cui far leva per la ripartenza. La presenza di una economia che conserva una buona base manifatturiera e artigianale rende in ogni caso ancora più importante la svolta verso la circolarità e le competenze </w:t>
      </w:r>
      <w:r>
        <w:rPr>
          <w:i/>
          <w:iCs/>
          <w:lang w:val="it-IT"/>
        </w:rPr>
        <w:t>green</w:t>
      </w:r>
      <w:r>
        <w:rPr>
          <w:lang w:val="it-IT"/>
        </w:rPr>
        <w:t xml:space="preserve">. Nelle imprese dell’industria, la quota di entrate relative ai </w:t>
      </w:r>
      <w:r>
        <w:rPr>
          <w:i/>
          <w:iCs/>
          <w:lang w:val="it-IT"/>
        </w:rPr>
        <w:t>Green Jobs</w:t>
      </w:r>
      <w:r>
        <w:rPr>
          <w:lang w:val="it-IT"/>
        </w:rPr>
        <w:t xml:space="preserve"> previste per i prossimi anni è infatti molto superiore a quella prevista nei servizi (65% contro 23% – dati 2019 Sistema Excelsior). </w:t>
      </w:r>
    </w:p>
    <w:p w14:paraId="67699153" w14:textId="77777777" w:rsidR="00814C18" w:rsidRPr="00604B5C" w:rsidRDefault="00024A3A" w:rsidP="00604B5C">
      <w:pPr>
        <w:pStyle w:val="CorpoA"/>
        <w:spacing w:after="120"/>
        <w:jc w:val="both"/>
        <w:rPr>
          <w:lang w:val="it-IT"/>
        </w:rPr>
      </w:pPr>
      <w:r>
        <w:rPr>
          <w:lang w:val="it-IT"/>
        </w:rPr>
        <w:tab/>
      </w:r>
      <w:r w:rsidR="007E476D">
        <w:rPr>
          <w:lang w:val="it-IT"/>
        </w:rPr>
        <w:t xml:space="preserve">Questa difformità è attribuibile al fatto che i settori </w:t>
      </w:r>
      <w:r w:rsidR="007E476D">
        <w:rPr>
          <w:i/>
          <w:iCs/>
          <w:lang w:val="it-IT"/>
        </w:rPr>
        <w:t>green</w:t>
      </w:r>
      <w:r w:rsidR="007E476D">
        <w:rPr>
          <w:lang w:val="it-IT"/>
        </w:rPr>
        <w:t xml:space="preserve"> identificati riguardano principalmente l'industria manifatturiera, delle costruzioni, dell’efficientamento energetico, dell’ottimizzazione del ciclo dei rifiuti, ecc., dove è maggiormente coinvolto personale impegnato nella riduzione dell’impatto ambientale dei cicli produttivi.</w:t>
      </w:r>
    </w:p>
    <w:p w14:paraId="57F90DB2" w14:textId="77777777" w:rsidR="007E476D" w:rsidRPr="00D36D29" w:rsidRDefault="007E476D" w:rsidP="00604B5C">
      <w:pPr>
        <w:pStyle w:val="CorpoA"/>
        <w:spacing w:after="120"/>
        <w:jc w:val="both"/>
        <w:rPr>
          <w:lang w:val="it-IT"/>
        </w:rPr>
      </w:pPr>
      <w:r>
        <w:rPr>
          <w:lang w:val="it-IT"/>
        </w:rPr>
        <w:lastRenderedPageBreak/>
        <w:tab/>
        <w:t>Questi presidi produttivi territoriali, tuttavia, in questi anni non hanno fatto sistema e, poiché i sistemi del lavoro non sono la prerogativa delle aree più urbanizzate, ma una componente soprattutto dei centri minori e delle aree urbane, l’investimento nel fattore umano appare anche come un aspetto fondamentale dello stesso capitale sociale presente nei territori che, per questa ragione, deve costituire una dimensione complessiva e di sistema. L’investimento nelle competenze e nell’apprendimento è quindi un presupposto imprescindibile per la necessaria ripresa di territori che per molto tempo sono stati una componente delle dinamiche positive dell’economia e della società italiana.</w:t>
      </w:r>
    </w:p>
    <w:p w14:paraId="088F38C3" w14:textId="77777777" w:rsidR="00814C18" w:rsidRDefault="007E476D" w:rsidP="00604B5C">
      <w:pPr>
        <w:pStyle w:val="CorpoA"/>
        <w:spacing w:after="120"/>
        <w:jc w:val="both"/>
        <w:rPr>
          <w:lang w:val="it-IT"/>
        </w:rPr>
      </w:pPr>
      <w:r>
        <w:rPr>
          <w:lang w:val="it-IT"/>
        </w:rPr>
        <w:tab/>
        <w:t xml:space="preserve">La creatività tipica del </w:t>
      </w:r>
      <w:r>
        <w:rPr>
          <w:i/>
          <w:iCs/>
          <w:lang w:val="it-IT"/>
        </w:rPr>
        <w:t xml:space="preserve">made in </w:t>
      </w:r>
      <w:proofErr w:type="spellStart"/>
      <w:r>
        <w:rPr>
          <w:i/>
          <w:iCs/>
          <w:lang w:val="it-IT"/>
        </w:rPr>
        <w:t>Italy</w:t>
      </w:r>
      <w:proofErr w:type="spellEnd"/>
      <w:r>
        <w:rPr>
          <w:lang w:val="it-IT"/>
        </w:rPr>
        <w:t xml:space="preserve"> continua a produrre uno sviluppo economico a matrice culturale, il cui principale carattere distintivo è quello di orientare verso un’alta qualità i prodotti manifatturieri, nel quadro di una valorizzazione e integrazione tra filiere produttive da un lato e patrimonio di conoscenze e ricerca dall’altro. Con questa linea strategica si prevedono, in particolare, azioni finalizzate al rafforzamento e allo sviluppo di nuove identità produttive distintive, valorizzando eredità storiche e specifiche condizioni naturali. </w:t>
      </w:r>
    </w:p>
    <w:p w14:paraId="7981552C" w14:textId="77777777" w:rsidR="005D07B0" w:rsidRDefault="00DA501D" w:rsidP="00604B5C">
      <w:pPr>
        <w:pStyle w:val="CorpoA"/>
        <w:spacing w:after="120"/>
        <w:jc w:val="both"/>
        <w:rPr>
          <w:lang w:val="it-IT"/>
        </w:rPr>
      </w:pPr>
      <w:r>
        <w:rPr>
          <w:lang w:val="it-IT"/>
        </w:rPr>
        <w:tab/>
      </w:r>
      <w:r w:rsidR="007E476D">
        <w:rPr>
          <w:lang w:val="it-IT"/>
        </w:rPr>
        <w:t xml:space="preserve">Questo è infatti cruciale per l’innovazione e lo sviluppo economico, che deve necessariamente riguardare sia l'artigianato creativo manuale ad altissimo differenziale, sia le attività ad alto potenziale tecnologico. In particolare, per l’implementazione di processi virtuosi di economia circolare, sarà necessario valorizzare l’innovazione, a partire da quella digitale, per consentire di ottimizzare l’uso delle risorse, ad esempio attraverso l’agricoltura di precisione, la manifattura additiva per l’artigianato, o l’IoT per un turismo integrato, con la valorizzazione del </w:t>
      </w:r>
      <w:r w:rsidR="007E476D">
        <w:rPr>
          <w:i/>
          <w:iCs/>
          <w:lang w:val="it-IT"/>
        </w:rPr>
        <w:t>terroir</w:t>
      </w:r>
      <w:r w:rsidR="007E476D">
        <w:rPr>
          <w:lang w:val="it-IT"/>
        </w:rPr>
        <w:t xml:space="preserve"> e dei prodotti locali a filiera corta.</w:t>
      </w:r>
      <w:r w:rsidR="005C650A">
        <w:rPr>
          <w:lang w:val="it-IT"/>
        </w:rPr>
        <w:t xml:space="preserve"> </w:t>
      </w:r>
    </w:p>
    <w:p w14:paraId="71AD6BFF" w14:textId="77777777" w:rsidR="00814C18" w:rsidRDefault="005D07B0" w:rsidP="00604B5C">
      <w:pPr>
        <w:pStyle w:val="CorpoA"/>
        <w:spacing w:after="120"/>
        <w:jc w:val="both"/>
        <w:rPr>
          <w:lang w:val="it-IT"/>
        </w:rPr>
      </w:pPr>
      <w:r>
        <w:rPr>
          <w:lang w:val="it-IT"/>
        </w:rPr>
        <w:tab/>
      </w:r>
      <w:r w:rsidR="007E476D">
        <w:rPr>
          <w:lang w:val="it-IT"/>
        </w:rPr>
        <w:t xml:space="preserve">Riguardo le attività manifatturiere, che sono state oggetto di un profondo depauperamento negli ultimi decenni, fatte salve alcune attività artigianali che hanno resistito a tale </w:t>
      </w:r>
      <w:r w:rsidR="007E476D">
        <w:rPr>
          <w:i/>
          <w:iCs/>
          <w:lang w:val="it-IT"/>
        </w:rPr>
        <w:t>trend</w:t>
      </w:r>
      <w:r w:rsidR="007E476D">
        <w:rPr>
          <w:lang w:val="it-IT"/>
        </w:rPr>
        <w:t xml:space="preserve">, la prospettiva della circolarità può comunque risultare particolarmente interessante e promettente, unendo alla disponibilità di tecnologie avanzate (come le stampanti 3D), la possibilità di utilizzare materiali riciclati o di origine naturale che saranno sempre più richiesti in molti settori. </w:t>
      </w:r>
    </w:p>
    <w:p w14:paraId="25150EF3" w14:textId="77777777" w:rsidR="007E476D" w:rsidRDefault="007E476D" w:rsidP="007E476D">
      <w:pPr>
        <w:pStyle w:val="CorpoA"/>
        <w:spacing w:after="20"/>
        <w:jc w:val="both"/>
        <w:rPr>
          <w:lang w:val="it-IT"/>
        </w:rPr>
      </w:pPr>
      <w:r>
        <w:rPr>
          <w:lang w:val="it-IT"/>
        </w:rPr>
        <w:tab/>
        <w:t>Pertanto, gli interventi per l’attuazione della succitata linea strategica riguarderanno, in particolare:</w:t>
      </w:r>
    </w:p>
    <w:p w14:paraId="33EB36C0" w14:textId="77777777" w:rsidR="00734129" w:rsidRPr="00277145" w:rsidRDefault="00A17ACE"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277145">
        <w:rPr>
          <w:rFonts w:ascii="Times New Roman" w:hAnsi="Times New Roman" w:cs="Times New Roman"/>
          <w:sz w:val="24"/>
          <w:szCs w:val="24"/>
        </w:rPr>
        <w:t>la riconversion</w:t>
      </w:r>
      <w:r w:rsidR="00277145" w:rsidRPr="00277145">
        <w:rPr>
          <w:rFonts w:ascii="Times New Roman" w:hAnsi="Times New Roman" w:cs="Times New Roman"/>
          <w:sz w:val="24"/>
          <w:szCs w:val="24"/>
        </w:rPr>
        <w:t>e</w:t>
      </w:r>
      <w:r w:rsidRPr="00277145">
        <w:rPr>
          <w:rFonts w:ascii="Times New Roman" w:hAnsi="Times New Roman" w:cs="Times New Roman"/>
          <w:sz w:val="24"/>
          <w:szCs w:val="24"/>
        </w:rPr>
        <w:t xml:space="preserve"> di attività produttive che hanno esaurito il proprio ciclo</w:t>
      </w:r>
      <w:r w:rsidR="0093424B" w:rsidRPr="00277145">
        <w:rPr>
          <w:rFonts w:ascii="Times New Roman" w:hAnsi="Times New Roman" w:cs="Times New Roman"/>
          <w:sz w:val="24"/>
          <w:szCs w:val="24"/>
        </w:rPr>
        <w:t xml:space="preserve"> </w:t>
      </w:r>
      <w:r w:rsidR="00AC2D4F" w:rsidRPr="00277145">
        <w:rPr>
          <w:rFonts w:ascii="Times New Roman" w:hAnsi="Times New Roman" w:cs="Times New Roman"/>
          <w:sz w:val="24"/>
          <w:szCs w:val="24"/>
        </w:rPr>
        <w:t>e di</w:t>
      </w:r>
      <w:r w:rsidRPr="00277145">
        <w:rPr>
          <w:rFonts w:ascii="Times New Roman" w:hAnsi="Times New Roman" w:cs="Times New Roman"/>
          <w:sz w:val="24"/>
          <w:szCs w:val="24"/>
        </w:rPr>
        <w:t xml:space="preserve"> processi innovativi di prodotto e/o di processo, sostenuti dalle tecnologie digitali sia per quanto riguarda i macchinari che le strumentazioni (sulla scia del programma Industria 4.0);</w:t>
      </w:r>
    </w:p>
    <w:p w14:paraId="61A03F9C" w14:textId="77777777" w:rsidR="00734129" w:rsidRPr="00604B5C" w:rsidRDefault="007E476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277145">
        <w:rPr>
          <w:rFonts w:ascii="Times New Roman" w:hAnsi="Times New Roman" w:cs="Times New Roman"/>
          <w:sz w:val="24"/>
          <w:szCs w:val="24"/>
        </w:rPr>
        <w:t>le strategie per la promozione</w:t>
      </w:r>
      <w:r w:rsidRPr="00604B5C">
        <w:rPr>
          <w:rFonts w:ascii="Times New Roman" w:hAnsi="Times New Roman" w:cs="Times New Roman"/>
          <w:sz w:val="24"/>
          <w:szCs w:val="24"/>
        </w:rPr>
        <w:t xml:space="preserve"> integrata del territorio, rafforzando la conoscenza dei nuovi mercati, nella loro dimensione culturale, favorendo la digitalizzazione delle imprese locali che permette di aprire ai mercati digitali, creando musei e archivi d’impresa per contribuire a definirne l’identità, favorendo la riconoscibilità dei prodotti, con riferimento al contesto ambientale in cui essi si collocano, sviluppando una politica di comunicazione comune che può generare</w:t>
      </w:r>
      <w:r w:rsidR="00734129" w:rsidRPr="00604B5C">
        <w:rPr>
          <w:rFonts w:ascii="Times New Roman" w:hAnsi="Times New Roman" w:cs="Times New Roman"/>
          <w:sz w:val="24"/>
          <w:szCs w:val="24"/>
        </w:rPr>
        <w:t>;</w:t>
      </w:r>
      <w:r w:rsidRPr="00604B5C">
        <w:rPr>
          <w:rFonts w:ascii="Times New Roman" w:hAnsi="Times New Roman" w:cs="Times New Roman"/>
          <w:sz w:val="24"/>
          <w:szCs w:val="24"/>
        </w:rPr>
        <w:t xml:space="preserve"> </w:t>
      </w:r>
    </w:p>
    <w:p w14:paraId="5BB53809" w14:textId="77777777" w:rsidR="00A17ACE" w:rsidRPr="00277145" w:rsidRDefault="00EF220E"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604B5C">
        <w:rPr>
          <w:rFonts w:ascii="Times New Roman" w:hAnsi="Times New Roman" w:cs="Times New Roman"/>
          <w:sz w:val="24"/>
          <w:szCs w:val="24"/>
        </w:rPr>
        <w:t>il sostegno alle imprese che operano in Ricerca e Sviluppo, specie verso quel</w:t>
      </w:r>
      <w:r w:rsidR="007E476D" w:rsidRPr="00604B5C">
        <w:rPr>
          <w:rFonts w:ascii="Times New Roman" w:hAnsi="Times New Roman" w:cs="Times New Roman"/>
          <w:sz w:val="24"/>
          <w:szCs w:val="24"/>
        </w:rPr>
        <w:t xml:space="preserve">le attività di ricerca orientate anche all’impiego delle nuove tecnologie a sostegno dell’innovazione, facilitando l’integrazione all’interno delle filiere localizzate – es. tra industrie dei macchinari specializzati e produttori di beni finali – per rafforzare la base competitiva dell’area del cratere nel suo complesso e sostenere i processi di innovazione; creando Digital </w:t>
      </w:r>
      <w:proofErr w:type="spellStart"/>
      <w:r w:rsidR="007E476D" w:rsidRPr="00604B5C">
        <w:rPr>
          <w:rFonts w:ascii="Times New Roman" w:hAnsi="Times New Roman" w:cs="Times New Roman"/>
          <w:sz w:val="24"/>
          <w:szCs w:val="24"/>
        </w:rPr>
        <w:t>Innovation</w:t>
      </w:r>
      <w:proofErr w:type="spellEnd"/>
      <w:r w:rsidR="007E476D" w:rsidRPr="00604B5C">
        <w:rPr>
          <w:rFonts w:ascii="Times New Roman" w:hAnsi="Times New Roman" w:cs="Times New Roman"/>
          <w:sz w:val="24"/>
          <w:szCs w:val="24"/>
        </w:rPr>
        <w:t xml:space="preserve"> Hub multidisciplinari con il coinvolgimento di centri di ricerca, Università, associazioni di categoria per la ricerca sui nuovi materiali e sui nuovi prodotti sia nel settore delle costruzioni </w:t>
      </w:r>
      <w:r w:rsidR="007E476D" w:rsidRPr="00277145">
        <w:rPr>
          <w:rFonts w:ascii="Times New Roman" w:hAnsi="Times New Roman" w:cs="Times New Roman"/>
          <w:sz w:val="24"/>
          <w:szCs w:val="24"/>
        </w:rPr>
        <w:t>sia, più in generale, nei settori industriali</w:t>
      </w:r>
      <w:r w:rsidR="00A17ACE" w:rsidRPr="00277145">
        <w:rPr>
          <w:rFonts w:ascii="Times New Roman" w:hAnsi="Times New Roman" w:cs="Times New Roman"/>
          <w:sz w:val="24"/>
          <w:szCs w:val="24"/>
        </w:rPr>
        <w:t>;</w:t>
      </w:r>
    </w:p>
    <w:p w14:paraId="1EEDDD07" w14:textId="3D7239E9" w:rsidR="00DA696A" w:rsidRPr="0010115D" w:rsidRDefault="00277145" w:rsidP="0010115D">
      <w:pPr>
        <w:pStyle w:val="Testocommento"/>
        <w:numPr>
          <w:ilvl w:val="0"/>
          <w:numId w:val="5"/>
        </w:numPr>
        <w:pBdr>
          <w:top w:val="nil"/>
          <w:left w:val="nil"/>
          <w:bottom w:val="nil"/>
          <w:right w:val="nil"/>
          <w:between w:val="nil"/>
          <w:bar w:val="nil"/>
        </w:pBdr>
        <w:spacing w:after="120"/>
        <w:ind w:left="714" w:hanging="357"/>
        <w:jc w:val="both"/>
        <w:rPr>
          <w:i/>
          <w:iCs/>
          <w:sz w:val="24"/>
          <w:szCs w:val="24"/>
        </w:rPr>
      </w:pPr>
      <w:r w:rsidRPr="00277145">
        <w:rPr>
          <w:rFonts w:ascii="Times New Roman" w:hAnsi="Times New Roman" w:cs="Times New Roman"/>
          <w:sz w:val="24"/>
          <w:szCs w:val="24"/>
        </w:rPr>
        <w:t>l</w:t>
      </w:r>
      <w:r w:rsidR="00A17ACE" w:rsidRPr="00277145">
        <w:rPr>
          <w:rFonts w:ascii="Times New Roman" w:hAnsi="Times New Roman" w:cs="Times New Roman"/>
          <w:sz w:val="24"/>
          <w:szCs w:val="24"/>
        </w:rPr>
        <w:t xml:space="preserve">a </w:t>
      </w:r>
      <w:r w:rsidRPr="00277145">
        <w:rPr>
          <w:rFonts w:ascii="Times New Roman" w:hAnsi="Times New Roman" w:cs="Times New Roman"/>
          <w:sz w:val="24"/>
          <w:szCs w:val="24"/>
        </w:rPr>
        <w:t xml:space="preserve">realizzazione </w:t>
      </w:r>
      <w:r w:rsidR="00A17ACE" w:rsidRPr="00277145">
        <w:rPr>
          <w:rFonts w:ascii="Times New Roman" w:hAnsi="Times New Roman" w:cs="Times New Roman"/>
          <w:sz w:val="24"/>
          <w:szCs w:val="24"/>
        </w:rPr>
        <w:t xml:space="preserve">di </w:t>
      </w:r>
      <w:r w:rsidR="00D93FA4" w:rsidRPr="00277145">
        <w:rPr>
          <w:rFonts w:ascii="Times New Roman" w:hAnsi="Times New Roman" w:cs="Times New Roman"/>
          <w:sz w:val="24"/>
          <w:szCs w:val="24"/>
        </w:rPr>
        <w:t>I</w:t>
      </w:r>
      <w:r w:rsidR="00A17ACE" w:rsidRPr="00277145">
        <w:rPr>
          <w:rFonts w:ascii="Times New Roman" w:hAnsi="Times New Roman" w:cs="Times New Roman"/>
          <w:sz w:val="24"/>
          <w:szCs w:val="24"/>
        </w:rPr>
        <w:t>nfrastrutture</w:t>
      </w:r>
      <w:r w:rsidR="00A17ACE" w:rsidRPr="00604B5C">
        <w:rPr>
          <w:rFonts w:ascii="Times New Roman" w:hAnsi="Times New Roman" w:cs="Times New Roman"/>
          <w:sz w:val="24"/>
          <w:szCs w:val="24"/>
        </w:rPr>
        <w:t xml:space="preserve"> di Ricerca, fisiche e/o virtuali, così come </w:t>
      </w:r>
      <w:r w:rsidR="0065086F" w:rsidRPr="00604B5C">
        <w:rPr>
          <w:rFonts w:ascii="Times New Roman" w:hAnsi="Times New Roman" w:cs="Times New Roman"/>
          <w:sz w:val="24"/>
          <w:szCs w:val="24"/>
        </w:rPr>
        <w:t xml:space="preserve">definite </w:t>
      </w:r>
      <w:r w:rsidR="00A17ACE" w:rsidRPr="00604B5C">
        <w:rPr>
          <w:rFonts w:ascii="Times New Roman" w:hAnsi="Times New Roman" w:cs="Times New Roman"/>
          <w:sz w:val="24"/>
          <w:szCs w:val="24"/>
        </w:rPr>
        <w:t>d</w:t>
      </w:r>
      <w:r w:rsidR="0065086F" w:rsidRPr="00604B5C">
        <w:rPr>
          <w:rFonts w:ascii="Times New Roman" w:hAnsi="Times New Roman" w:cs="Times New Roman"/>
          <w:sz w:val="24"/>
          <w:szCs w:val="24"/>
        </w:rPr>
        <w:t>a</w:t>
      </w:r>
      <w:r w:rsidR="00A17ACE" w:rsidRPr="00604B5C">
        <w:rPr>
          <w:rFonts w:ascii="Times New Roman" w:hAnsi="Times New Roman" w:cs="Times New Roman"/>
          <w:sz w:val="24"/>
          <w:szCs w:val="24"/>
        </w:rPr>
        <w:t>ll</w:t>
      </w:r>
      <w:r w:rsidR="0065086F" w:rsidRPr="00604B5C">
        <w:rPr>
          <w:rFonts w:ascii="Times New Roman" w:hAnsi="Times New Roman" w:cs="Times New Roman"/>
          <w:sz w:val="24"/>
          <w:szCs w:val="24"/>
        </w:rPr>
        <w:t>a</w:t>
      </w:r>
      <w:r w:rsidR="00A17ACE" w:rsidRPr="00604B5C">
        <w:rPr>
          <w:rFonts w:ascii="Times New Roman" w:hAnsi="Times New Roman" w:cs="Times New Roman"/>
          <w:sz w:val="24"/>
          <w:szCs w:val="24"/>
        </w:rPr>
        <w:t xml:space="preserve"> Commissione </w:t>
      </w:r>
      <w:r w:rsidR="0065086F" w:rsidRPr="00604B5C">
        <w:rPr>
          <w:rFonts w:ascii="Times New Roman" w:hAnsi="Times New Roman" w:cs="Times New Roman"/>
          <w:sz w:val="24"/>
          <w:szCs w:val="24"/>
        </w:rPr>
        <w:t>E</w:t>
      </w:r>
      <w:r w:rsidR="00A17ACE" w:rsidRPr="00604B5C">
        <w:rPr>
          <w:rFonts w:ascii="Times New Roman" w:hAnsi="Times New Roman" w:cs="Times New Roman"/>
          <w:sz w:val="24"/>
          <w:szCs w:val="24"/>
        </w:rPr>
        <w:t xml:space="preserve">uropea, sia di tipo concentrato che diffuso e che forniscano, anche tramite bandi competitivi gestiti dalle infrastrutture stesse, attrezzature, </w:t>
      </w:r>
      <w:proofErr w:type="spellStart"/>
      <w:r w:rsidR="00A17ACE" w:rsidRPr="00604B5C">
        <w:rPr>
          <w:rFonts w:ascii="Times New Roman" w:hAnsi="Times New Roman" w:cs="Times New Roman"/>
          <w:i/>
          <w:sz w:val="24"/>
          <w:szCs w:val="24"/>
        </w:rPr>
        <w:t>know</w:t>
      </w:r>
      <w:proofErr w:type="spellEnd"/>
      <w:r w:rsidR="00A17ACE" w:rsidRPr="00604B5C">
        <w:rPr>
          <w:rFonts w:ascii="Times New Roman" w:hAnsi="Times New Roman" w:cs="Times New Roman"/>
          <w:i/>
          <w:sz w:val="24"/>
          <w:szCs w:val="24"/>
        </w:rPr>
        <w:t xml:space="preserve"> </w:t>
      </w:r>
      <w:proofErr w:type="spellStart"/>
      <w:r w:rsidR="00A17ACE" w:rsidRPr="00604B5C">
        <w:rPr>
          <w:rFonts w:ascii="Times New Roman" w:hAnsi="Times New Roman" w:cs="Times New Roman"/>
          <w:i/>
          <w:sz w:val="24"/>
          <w:szCs w:val="24"/>
        </w:rPr>
        <w:t>how</w:t>
      </w:r>
      <w:proofErr w:type="spellEnd"/>
      <w:r w:rsidR="00A17ACE" w:rsidRPr="00604B5C">
        <w:rPr>
          <w:rFonts w:ascii="Times New Roman" w:hAnsi="Times New Roman" w:cs="Times New Roman"/>
          <w:sz w:val="24"/>
          <w:szCs w:val="24"/>
        </w:rPr>
        <w:t>, dati a comunità di ricerca e università (pubbliche o private) per promuovere l’innovazione</w:t>
      </w:r>
      <w:r w:rsidR="0065086F" w:rsidRPr="00604B5C">
        <w:rPr>
          <w:rFonts w:ascii="Times New Roman" w:hAnsi="Times New Roman" w:cs="Times New Roman"/>
          <w:sz w:val="24"/>
          <w:szCs w:val="24"/>
        </w:rPr>
        <w:t xml:space="preserve"> sui territori</w:t>
      </w:r>
      <w:r w:rsidR="00A17ACE" w:rsidRPr="00604B5C">
        <w:rPr>
          <w:rFonts w:ascii="Times New Roman" w:hAnsi="Times New Roman" w:cs="Times New Roman"/>
          <w:sz w:val="24"/>
          <w:szCs w:val="24"/>
        </w:rPr>
        <w:t xml:space="preserve">.  </w:t>
      </w:r>
    </w:p>
    <w:p w14:paraId="26450EF1" w14:textId="77777777" w:rsidR="005D07B0" w:rsidRPr="00341EAE" w:rsidRDefault="007E476D" w:rsidP="00062345">
      <w:pPr>
        <w:pStyle w:val="CorpoA"/>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0" w:firstLine="720"/>
        <w:jc w:val="both"/>
        <w:rPr>
          <w:i/>
          <w:iCs/>
          <w:lang w:val="it-IT"/>
        </w:rPr>
      </w:pPr>
      <w:r w:rsidRPr="00341EAE">
        <w:rPr>
          <w:rFonts w:cs="Times New Roman"/>
          <w:b/>
          <w:bCs/>
          <w:i/>
          <w:color w:val="4472C4" w:themeColor="accent1"/>
          <w:lang w:val="it-IT"/>
        </w:rPr>
        <w:lastRenderedPageBreak/>
        <w:t>Innalzamento dei livelli della ricerca e migliore diffusione delle conoscenze</w:t>
      </w:r>
      <w:r w:rsidRPr="000E3A8B">
        <w:rPr>
          <w:rFonts w:cs="Times New Roman"/>
          <w:b/>
          <w:bCs/>
          <w:iCs/>
          <w:color w:val="4472C4" w:themeColor="accent1"/>
          <w:lang w:val="it-IT"/>
        </w:rPr>
        <w:t xml:space="preserve"> </w:t>
      </w:r>
    </w:p>
    <w:p w14:paraId="425AEC46" w14:textId="77777777" w:rsidR="00F72E45" w:rsidRPr="00084DEA" w:rsidRDefault="007E476D" w:rsidP="003D0E65">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20"/>
        <w:jc w:val="both"/>
        <w:rPr>
          <w:lang w:val="it-IT"/>
        </w:rPr>
      </w:pPr>
      <w:r>
        <w:rPr>
          <w:rFonts w:ascii="Arial Unicode MS" w:hAnsi="Arial Unicode MS"/>
          <w:lang w:val="it-IT"/>
        </w:rPr>
        <w:br/>
      </w:r>
      <w:r>
        <w:rPr>
          <w:lang w:val="it-IT"/>
        </w:rPr>
        <w:tab/>
        <w:t>L’obiettivo generale di questa linea strategica è di generare, all’interno del territorio colpito dal sisma, infrastrutture e percorsi di ricerca per l’innovazione e lo sviluppo, con il duplice scopo di contribuire a rilanciare l’attrattività del territorio e di costruire conoscenza, competenze e professionalità da mettere a disposizione dell’intero Paese, e anche al di fuori di esso. In tal senso, la drammatica esperienza della devastazione provocata dal sisma può divenire occasione per mettere in vita percorsi di ricerca</w:t>
      </w:r>
      <w:r w:rsidR="00123F85">
        <w:rPr>
          <w:lang w:val="it-IT"/>
        </w:rPr>
        <w:t xml:space="preserve"> e di studio</w:t>
      </w:r>
      <w:r>
        <w:rPr>
          <w:lang w:val="it-IT"/>
        </w:rPr>
        <w:t xml:space="preserve"> orientati a coniare risposte efficaci a perturbazioni violente di tipo naturale, agendo sulla prevenzione e sulla capacità di ripresa in caso di evento disastroso.</w:t>
      </w:r>
    </w:p>
    <w:p w14:paraId="3527002A" w14:textId="77777777" w:rsidR="00DA501D" w:rsidRDefault="007E476D" w:rsidP="003D0E65">
      <w:pPr>
        <w:pStyle w:val="CorpoA"/>
        <w:spacing w:after="120"/>
        <w:jc w:val="both"/>
        <w:rPr>
          <w:lang w:val="it-IT"/>
        </w:rPr>
      </w:pPr>
      <w:r>
        <w:rPr>
          <w:lang w:val="it-IT"/>
        </w:rPr>
        <w:tab/>
        <w:t>La partecipazione a programmi di istruzione nella fascia di età tra i 20 e i 24 anni appare nelle aree dei crateri superiore alla media nazionale, con alcuni picchi significativi. Tuttavia, il processo di formazione non prosegue tra gli adulti. Infatti, la porzione di popolazione over 24 che partecipa a programmi di istruzione permanente si attesta ben al di sotto del 10%. Dunque, è necessario investire nell’ottica di alzare questi numeri in maniera continuativa nel tempo, migliorando l</w:t>
      </w:r>
      <w:r w:rsidR="00123F85">
        <w:rPr>
          <w:lang w:val="it-IT"/>
        </w:rPr>
        <w:t xml:space="preserve">’attività di ricerca </w:t>
      </w:r>
      <w:r>
        <w:rPr>
          <w:lang w:val="it-IT"/>
        </w:rPr>
        <w:t xml:space="preserve"> scientifica </w:t>
      </w:r>
      <w:r w:rsidR="00123F85">
        <w:rPr>
          <w:lang w:val="it-IT"/>
        </w:rPr>
        <w:t>legata allo sviluppo del territorio</w:t>
      </w:r>
      <w:r>
        <w:rPr>
          <w:lang w:val="it-IT"/>
        </w:rPr>
        <w:t xml:space="preserve"> </w:t>
      </w:r>
      <w:r w:rsidR="00123F85">
        <w:rPr>
          <w:lang w:val="it-IT"/>
        </w:rPr>
        <w:t xml:space="preserve">ed al trasferimento tecnologico e di conoscenza </w:t>
      </w:r>
      <w:r>
        <w:rPr>
          <w:lang w:val="it-IT"/>
        </w:rPr>
        <w:t xml:space="preserve">, in particolare, </w:t>
      </w:r>
      <w:r w:rsidR="00123F85">
        <w:rPr>
          <w:lang w:val="it-IT"/>
        </w:rPr>
        <w:t>sostenendo</w:t>
      </w:r>
      <w:r>
        <w:rPr>
          <w:lang w:val="it-IT"/>
        </w:rPr>
        <w:t xml:space="preserve"> nuove forme di imprenditorialità legate alla </w:t>
      </w:r>
      <w:r>
        <w:rPr>
          <w:i/>
          <w:iCs/>
          <w:lang w:val="it-IT"/>
        </w:rPr>
        <w:t xml:space="preserve">green economy </w:t>
      </w:r>
      <w:r>
        <w:rPr>
          <w:lang w:val="it-IT"/>
        </w:rPr>
        <w:t xml:space="preserve">(nuove forme di turismo naturalistico e culturale, nuovi usi </w:t>
      </w:r>
      <w:proofErr w:type="spellStart"/>
      <w:r>
        <w:rPr>
          <w:lang w:val="it-IT"/>
        </w:rPr>
        <w:t>silvo</w:t>
      </w:r>
      <w:proofErr w:type="spellEnd"/>
      <w:r>
        <w:rPr>
          <w:lang w:val="it-IT"/>
        </w:rPr>
        <w:t xml:space="preserve">-pastorali, zootecnici e agronomici connessi alle qualità naturali dei luoghi, forme innovative di artigianato e manifattura digitale, alta formazione e ricerca per l’innovazione, ecc.). </w:t>
      </w:r>
    </w:p>
    <w:p w14:paraId="343E10B8" w14:textId="77777777" w:rsidR="00F72E45" w:rsidRDefault="00DA501D" w:rsidP="003D0E65">
      <w:pPr>
        <w:pStyle w:val="CorpoA"/>
        <w:spacing w:after="120"/>
        <w:jc w:val="both"/>
        <w:rPr>
          <w:lang w:val="it-IT"/>
        </w:rPr>
      </w:pPr>
      <w:r>
        <w:rPr>
          <w:lang w:val="it-IT"/>
        </w:rPr>
        <w:tab/>
      </w:r>
      <w:r w:rsidR="007E476D">
        <w:rPr>
          <w:lang w:val="it-IT"/>
        </w:rPr>
        <w:t>Ciò può contribuire a rendere concreto e fattivo lo sviluppo di nuove modalità dell’abitare in aree fragili e vulnerabili, attualmente marginali e remote rispetto alle dinamiche dello sviluppo, ma ricche di valori e concrete potenzialità, incrementandone quindi l’attrattività dal punto di vista economico e occupazionale.</w:t>
      </w:r>
    </w:p>
    <w:p w14:paraId="4C1424EE" w14:textId="77777777" w:rsidR="007E476D" w:rsidRPr="00734129" w:rsidRDefault="007E476D" w:rsidP="0013143D">
      <w:pPr>
        <w:pStyle w:val="CorpoA"/>
        <w:spacing w:after="120"/>
        <w:jc w:val="both"/>
        <w:rPr>
          <w:rFonts w:cs="Times New Roman"/>
          <w:lang w:val="it-IT"/>
        </w:rPr>
      </w:pPr>
      <w:r w:rsidRPr="001216AF">
        <w:rPr>
          <w:rFonts w:cs="Times New Roman"/>
          <w:lang w:val="it-IT"/>
        </w:rPr>
        <w:tab/>
      </w:r>
      <w:r w:rsidRPr="00734129">
        <w:rPr>
          <w:rFonts w:cs="Times New Roman"/>
          <w:lang w:val="it-IT"/>
        </w:rPr>
        <w:t>Le azioni da porre in atto riguarderanno, in particolare:</w:t>
      </w:r>
    </w:p>
    <w:p w14:paraId="3BD9A03E" w14:textId="77777777" w:rsidR="007E476D" w:rsidRPr="00734129" w:rsidRDefault="007E476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734129">
        <w:rPr>
          <w:rFonts w:ascii="Times New Roman" w:hAnsi="Times New Roman" w:cs="Times New Roman"/>
          <w:sz w:val="24"/>
          <w:szCs w:val="24"/>
        </w:rPr>
        <w:t>la formalizzazione di possibili accordi fra Istituzioni per dare luogo a iniziative di collaborazione per la costituzione di Centri di ricerca su temi legati al miglioramento della resilienza territoriale, alla gestione della fase di prevenzione e della ripresa post disastro, allo sviluppo di economie circolari, con particolare attenzione alla valorizzazione delle produzioni agronomiche e s</w:t>
      </w:r>
      <w:r w:rsidR="00DA501D" w:rsidRPr="00734129">
        <w:rPr>
          <w:rFonts w:ascii="Times New Roman" w:hAnsi="Times New Roman" w:cs="Times New Roman"/>
          <w:sz w:val="24"/>
          <w:szCs w:val="24"/>
        </w:rPr>
        <w:t>i</w:t>
      </w:r>
      <w:r w:rsidRPr="00734129">
        <w:rPr>
          <w:rFonts w:ascii="Times New Roman" w:hAnsi="Times New Roman" w:cs="Times New Roman"/>
          <w:sz w:val="24"/>
          <w:szCs w:val="24"/>
        </w:rPr>
        <w:t xml:space="preserve">lvicolturali, alla preservazione dei beni culturali, </w:t>
      </w:r>
      <w:r w:rsidRPr="00277145">
        <w:rPr>
          <w:rFonts w:ascii="Times New Roman" w:hAnsi="Times New Roman" w:cs="Times New Roman"/>
          <w:sz w:val="24"/>
          <w:szCs w:val="24"/>
        </w:rPr>
        <w:t>alla formalizzazione di attività di servizio e supporto alle decisioni (</w:t>
      </w:r>
      <w:proofErr w:type="spellStart"/>
      <w:r w:rsidRPr="00277145">
        <w:rPr>
          <w:rFonts w:ascii="Times New Roman" w:hAnsi="Times New Roman" w:cs="Times New Roman"/>
          <w:i/>
          <w:sz w:val="24"/>
          <w:szCs w:val="24"/>
        </w:rPr>
        <w:t>Decision</w:t>
      </w:r>
      <w:proofErr w:type="spellEnd"/>
      <w:r w:rsidRPr="00277145">
        <w:rPr>
          <w:rFonts w:ascii="Times New Roman" w:hAnsi="Times New Roman" w:cs="Times New Roman"/>
          <w:i/>
          <w:sz w:val="24"/>
          <w:szCs w:val="24"/>
        </w:rPr>
        <w:t xml:space="preserve"> </w:t>
      </w:r>
      <w:proofErr w:type="spellStart"/>
      <w:r w:rsidRPr="00277145">
        <w:rPr>
          <w:rFonts w:ascii="Times New Roman" w:hAnsi="Times New Roman" w:cs="Times New Roman"/>
          <w:i/>
          <w:sz w:val="24"/>
          <w:szCs w:val="24"/>
        </w:rPr>
        <w:t>Support</w:t>
      </w:r>
      <w:proofErr w:type="spellEnd"/>
      <w:r w:rsidRPr="00277145">
        <w:rPr>
          <w:rFonts w:ascii="Times New Roman" w:hAnsi="Times New Roman" w:cs="Times New Roman"/>
          <w:i/>
          <w:sz w:val="24"/>
          <w:szCs w:val="24"/>
        </w:rPr>
        <w:t xml:space="preserve"> System</w:t>
      </w:r>
      <w:r w:rsidRPr="00277145">
        <w:rPr>
          <w:rFonts w:ascii="Times New Roman" w:hAnsi="Times New Roman" w:cs="Times New Roman"/>
          <w:sz w:val="24"/>
          <w:szCs w:val="24"/>
        </w:rPr>
        <w:t xml:space="preserve">), alla </w:t>
      </w:r>
      <w:r w:rsidRPr="00277145">
        <w:rPr>
          <w:rFonts w:ascii="Times New Roman" w:hAnsi="Times New Roman" w:cs="Times New Roman"/>
          <w:i/>
          <w:sz w:val="24"/>
          <w:szCs w:val="24"/>
        </w:rPr>
        <w:t>governance</w:t>
      </w:r>
      <w:r w:rsidRPr="00277145">
        <w:rPr>
          <w:rFonts w:ascii="Times New Roman" w:hAnsi="Times New Roman" w:cs="Times New Roman"/>
          <w:sz w:val="24"/>
          <w:szCs w:val="24"/>
        </w:rPr>
        <w:t xml:space="preserve"> (ai</w:t>
      </w:r>
      <w:r w:rsidRPr="00734129">
        <w:rPr>
          <w:rFonts w:ascii="Times New Roman" w:hAnsi="Times New Roman" w:cs="Times New Roman"/>
          <w:sz w:val="24"/>
          <w:szCs w:val="24"/>
        </w:rPr>
        <w:t xml:space="preserve"> diversi livelli);</w:t>
      </w:r>
    </w:p>
    <w:p w14:paraId="26E545F0" w14:textId="77777777" w:rsidR="00780275" w:rsidRPr="00734129" w:rsidRDefault="00780275"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734129">
        <w:rPr>
          <w:rFonts w:ascii="Times New Roman" w:hAnsi="Times New Roman" w:cs="Times New Roman"/>
          <w:sz w:val="24"/>
          <w:szCs w:val="24"/>
        </w:rPr>
        <w:t xml:space="preserve">investimenti per la creazione di infrastrutture digitali per la gestione dei </w:t>
      </w:r>
      <w:r w:rsidRPr="003D0E65">
        <w:rPr>
          <w:rFonts w:ascii="Times New Roman" w:hAnsi="Times New Roman" w:cs="Times New Roman"/>
          <w:i/>
          <w:sz w:val="24"/>
          <w:szCs w:val="24"/>
        </w:rPr>
        <w:t>Big Data</w:t>
      </w:r>
      <w:r w:rsidRPr="00734129">
        <w:rPr>
          <w:rFonts w:ascii="Times New Roman" w:hAnsi="Times New Roman" w:cs="Times New Roman"/>
          <w:sz w:val="24"/>
          <w:szCs w:val="24"/>
        </w:rPr>
        <w:t>;</w:t>
      </w:r>
    </w:p>
    <w:p w14:paraId="44B8D2BE" w14:textId="77777777" w:rsidR="007E476D" w:rsidRPr="00C82897" w:rsidRDefault="00C82897"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C82897">
        <w:rPr>
          <w:rFonts w:ascii="Times New Roman" w:hAnsi="Times New Roman" w:cs="Times New Roman"/>
          <w:sz w:val="24"/>
          <w:szCs w:val="24"/>
        </w:rPr>
        <w:t>creazione di un centro di</w:t>
      </w:r>
      <w:r w:rsidR="007E476D" w:rsidRPr="00C82897">
        <w:rPr>
          <w:rFonts w:ascii="Times New Roman" w:hAnsi="Times New Roman" w:cs="Times New Roman"/>
          <w:sz w:val="24"/>
          <w:szCs w:val="24"/>
        </w:rPr>
        <w:t xml:space="preserve"> formazione di tecnici </w:t>
      </w:r>
      <w:r w:rsidR="0093424B" w:rsidRPr="00C82897">
        <w:rPr>
          <w:rFonts w:ascii="Times New Roman" w:hAnsi="Times New Roman" w:cs="Times New Roman"/>
          <w:sz w:val="24"/>
          <w:szCs w:val="24"/>
        </w:rPr>
        <w:t>degli enti locali, delle Regioni e degli Uffici speciali per la ricostruzione</w:t>
      </w:r>
      <w:r w:rsidR="00734129" w:rsidRPr="00C82897">
        <w:rPr>
          <w:rFonts w:ascii="Times New Roman" w:hAnsi="Times New Roman" w:cs="Times New Roman"/>
          <w:sz w:val="24"/>
          <w:szCs w:val="24"/>
        </w:rPr>
        <w:t>;</w:t>
      </w:r>
    </w:p>
    <w:p w14:paraId="0179929A" w14:textId="77777777" w:rsidR="007E476D" w:rsidRPr="00C82897" w:rsidRDefault="007E476D"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734129">
        <w:rPr>
          <w:rFonts w:ascii="Times New Roman" w:hAnsi="Times New Roman" w:cs="Times New Roman"/>
          <w:sz w:val="24"/>
          <w:szCs w:val="24"/>
        </w:rPr>
        <w:t xml:space="preserve">l’istituzione di centri </w:t>
      </w:r>
      <w:r w:rsidRPr="00C82897">
        <w:rPr>
          <w:rFonts w:ascii="Times New Roman" w:hAnsi="Times New Roman" w:cs="Times New Roman"/>
          <w:sz w:val="24"/>
          <w:szCs w:val="24"/>
        </w:rPr>
        <w:t xml:space="preserve">per la valorizzazione della partecipazione giovanile, attraverso il Servizio Civile Universale e la promozione del Programma </w:t>
      </w:r>
      <w:proofErr w:type="spellStart"/>
      <w:r w:rsidRPr="00C82897">
        <w:rPr>
          <w:rFonts w:ascii="Times New Roman" w:hAnsi="Times New Roman" w:cs="Times New Roman"/>
          <w:i/>
          <w:sz w:val="24"/>
          <w:szCs w:val="24"/>
        </w:rPr>
        <w:t>European</w:t>
      </w:r>
      <w:proofErr w:type="spellEnd"/>
      <w:r w:rsidRPr="00C82897">
        <w:rPr>
          <w:rFonts w:ascii="Times New Roman" w:hAnsi="Times New Roman" w:cs="Times New Roman"/>
          <w:i/>
          <w:sz w:val="24"/>
          <w:szCs w:val="24"/>
        </w:rPr>
        <w:t xml:space="preserve"> </w:t>
      </w:r>
      <w:proofErr w:type="spellStart"/>
      <w:r w:rsidRPr="00C82897">
        <w:rPr>
          <w:rFonts w:ascii="Times New Roman" w:hAnsi="Times New Roman" w:cs="Times New Roman"/>
          <w:i/>
          <w:sz w:val="24"/>
          <w:szCs w:val="24"/>
        </w:rPr>
        <w:t>Solidarity</w:t>
      </w:r>
      <w:proofErr w:type="spellEnd"/>
      <w:r w:rsidRPr="00C82897">
        <w:rPr>
          <w:rFonts w:ascii="Times New Roman" w:hAnsi="Times New Roman" w:cs="Times New Roman"/>
          <w:i/>
          <w:sz w:val="24"/>
          <w:szCs w:val="24"/>
        </w:rPr>
        <w:t xml:space="preserve"> </w:t>
      </w:r>
      <w:proofErr w:type="spellStart"/>
      <w:r w:rsidRPr="00C82897">
        <w:rPr>
          <w:rFonts w:ascii="Times New Roman" w:hAnsi="Times New Roman" w:cs="Times New Roman"/>
          <w:i/>
          <w:sz w:val="24"/>
          <w:szCs w:val="24"/>
        </w:rPr>
        <w:t>Corps</w:t>
      </w:r>
      <w:proofErr w:type="spellEnd"/>
      <w:r w:rsidRPr="00C82897">
        <w:rPr>
          <w:rFonts w:ascii="Times New Roman" w:hAnsi="Times New Roman" w:cs="Times New Roman"/>
          <w:i/>
          <w:sz w:val="24"/>
          <w:szCs w:val="24"/>
        </w:rPr>
        <w:t xml:space="preserve"> e Erasmus+/Youth</w:t>
      </w:r>
      <w:r w:rsidRPr="00C82897">
        <w:rPr>
          <w:rFonts w:ascii="Times New Roman" w:hAnsi="Times New Roman" w:cs="Times New Roman"/>
          <w:sz w:val="24"/>
          <w:szCs w:val="24"/>
        </w:rPr>
        <w:t>.</w:t>
      </w:r>
    </w:p>
    <w:p w14:paraId="2FF9CDAD" w14:textId="77777777" w:rsidR="00AC70E2" w:rsidRPr="00734129" w:rsidRDefault="00AC70E2"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C82897">
        <w:rPr>
          <w:rFonts w:ascii="Times New Roman" w:hAnsi="Times New Roman" w:cs="Times New Roman"/>
          <w:sz w:val="24"/>
          <w:szCs w:val="24"/>
        </w:rPr>
        <w:t>la “istituzionalizzazione” della</w:t>
      </w:r>
      <w:r w:rsidRPr="00734129">
        <w:rPr>
          <w:rFonts w:ascii="Times New Roman" w:hAnsi="Times New Roman" w:cs="Times New Roman"/>
          <w:sz w:val="24"/>
          <w:szCs w:val="24"/>
        </w:rPr>
        <w:t xml:space="preserve"> partecipazione integrata e strategica in iniziative di ricerca, sviluppo ed innovazione in programmi europei (</w:t>
      </w:r>
      <w:r w:rsidRPr="003D4BF6">
        <w:rPr>
          <w:rFonts w:ascii="Times New Roman" w:hAnsi="Times New Roman" w:cs="Times New Roman"/>
          <w:i/>
          <w:sz w:val="24"/>
          <w:szCs w:val="24"/>
        </w:rPr>
        <w:t>Horizon Europe</w:t>
      </w:r>
      <w:r w:rsidRPr="00734129">
        <w:rPr>
          <w:rFonts w:ascii="Times New Roman" w:hAnsi="Times New Roman" w:cs="Times New Roman"/>
          <w:sz w:val="24"/>
          <w:szCs w:val="24"/>
        </w:rPr>
        <w:t xml:space="preserve">), nonché in partenariati atti a condividere in maniera multidirezionale progetti con altre realtà Europee, come per esempio le </w:t>
      </w:r>
      <w:proofErr w:type="spellStart"/>
      <w:r w:rsidRPr="003D4BF6">
        <w:rPr>
          <w:rFonts w:ascii="Times New Roman" w:hAnsi="Times New Roman" w:cs="Times New Roman"/>
          <w:i/>
          <w:sz w:val="24"/>
          <w:szCs w:val="24"/>
        </w:rPr>
        <w:t>European</w:t>
      </w:r>
      <w:proofErr w:type="spellEnd"/>
      <w:r w:rsidRPr="003D4BF6">
        <w:rPr>
          <w:rFonts w:ascii="Times New Roman" w:hAnsi="Times New Roman" w:cs="Times New Roman"/>
          <w:i/>
          <w:sz w:val="24"/>
          <w:szCs w:val="24"/>
        </w:rPr>
        <w:t xml:space="preserve"> </w:t>
      </w:r>
      <w:proofErr w:type="spellStart"/>
      <w:r w:rsidRPr="003D4BF6">
        <w:rPr>
          <w:rFonts w:ascii="Times New Roman" w:hAnsi="Times New Roman" w:cs="Times New Roman"/>
          <w:i/>
          <w:sz w:val="24"/>
          <w:szCs w:val="24"/>
        </w:rPr>
        <w:t>Innovation</w:t>
      </w:r>
      <w:proofErr w:type="spellEnd"/>
      <w:r w:rsidRPr="003D4BF6">
        <w:rPr>
          <w:rFonts w:ascii="Times New Roman" w:hAnsi="Times New Roman" w:cs="Times New Roman"/>
          <w:i/>
          <w:sz w:val="24"/>
          <w:szCs w:val="24"/>
        </w:rPr>
        <w:t xml:space="preserve"> Partnership</w:t>
      </w:r>
      <w:r w:rsidRPr="00734129">
        <w:rPr>
          <w:rFonts w:ascii="Times New Roman" w:hAnsi="Times New Roman" w:cs="Times New Roman"/>
          <w:sz w:val="24"/>
          <w:szCs w:val="24"/>
        </w:rPr>
        <w:t xml:space="preserve"> dell’</w:t>
      </w:r>
      <w:proofErr w:type="spellStart"/>
      <w:r w:rsidRPr="003D4BF6">
        <w:rPr>
          <w:rFonts w:ascii="Times New Roman" w:hAnsi="Times New Roman" w:cs="Times New Roman"/>
          <w:i/>
          <w:sz w:val="24"/>
          <w:szCs w:val="24"/>
        </w:rPr>
        <w:t>Horizon</w:t>
      </w:r>
      <w:proofErr w:type="spellEnd"/>
      <w:r w:rsidRPr="003D4BF6">
        <w:rPr>
          <w:rFonts w:ascii="Times New Roman" w:hAnsi="Times New Roman" w:cs="Times New Roman"/>
          <w:i/>
          <w:sz w:val="24"/>
          <w:szCs w:val="24"/>
        </w:rPr>
        <w:t xml:space="preserve"> 2020</w:t>
      </w:r>
      <w:r w:rsidRPr="00734129">
        <w:rPr>
          <w:rFonts w:ascii="Times New Roman" w:hAnsi="Times New Roman" w:cs="Times New Roman"/>
          <w:sz w:val="24"/>
          <w:szCs w:val="24"/>
        </w:rPr>
        <w:t>.</w:t>
      </w:r>
    </w:p>
    <w:p w14:paraId="1D543460" w14:textId="77777777" w:rsidR="006B0FD0" w:rsidRDefault="006B0FD0" w:rsidP="003D0559">
      <w:pPr>
        <w:jc w:val="both"/>
        <w:rPr>
          <w:rFonts w:ascii="Times New Roman" w:hAnsi="Times New Roman" w:cs="Times New Roman"/>
          <w:i/>
          <w:sz w:val="24"/>
          <w:szCs w:val="24"/>
        </w:rPr>
      </w:pPr>
    </w:p>
    <w:p w14:paraId="7A8044B7" w14:textId="62246ADF" w:rsidR="00084DEA" w:rsidRDefault="006B0FD0" w:rsidP="009459D2">
      <w:pPr>
        <w:jc w:val="both"/>
        <w:rPr>
          <w:rFonts w:ascii="Verdana" w:hAnsi="Verdana"/>
          <w:b/>
          <w:color w:val="C00000"/>
          <w:sz w:val="24"/>
          <w:szCs w:val="24"/>
        </w:rPr>
      </w:pPr>
      <w:r>
        <w:rPr>
          <w:rFonts w:ascii="Times New Roman" w:hAnsi="Times New Roman" w:cs="Times New Roman"/>
          <w:i/>
          <w:sz w:val="24"/>
          <w:szCs w:val="24"/>
        </w:rPr>
        <w:tab/>
        <w:t>L</w:t>
      </w:r>
      <w:r w:rsidRPr="00FF309F">
        <w:rPr>
          <w:rFonts w:ascii="Times New Roman" w:hAnsi="Times New Roman" w:cs="Times New Roman"/>
          <w:i/>
          <w:sz w:val="24"/>
          <w:szCs w:val="24"/>
        </w:rPr>
        <w:t xml:space="preserve">e analisi svolte in </w:t>
      </w:r>
      <w:r>
        <w:rPr>
          <w:rFonts w:ascii="Times New Roman" w:hAnsi="Times New Roman" w:cs="Times New Roman"/>
          <w:i/>
          <w:sz w:val="24"/>
          <w:szCs w:val="24"/>
        </w:rPr>
        <w:t xml:space="preserve">questa </w:t>
      </w:r>
      <w:r w:rsidR="0010578E">
        <w:rPr>
          <w:rFonts w:ascii="Times New Roman" w:hAnsi="Times New Roman" w:cs="Times New Roman"/>
          <w:i/>
          <w:sz w:val="24"/>
          <w:szCs w:val="24"/>
        </w:rPr>
        <w:t>terza</w:t>
      </w:r>
      <w:r w:rsidR="00F806C0">
        <w:rPr>
          <w:rFonts w:ascii="Times New Roman" w:hAnsi="Times New Roman" w:cs="Times New Roman"/>
          <w:i/>
          <w:sz w:val="24"/>
          <w:szCs w:val="24"/>
        </w:rPr>
        <w:t xml:space="preserve"> parte</w:t>
      </w:r>
      <w:r>
        <w:rPr>
          <w:rFonts w:ascii="Times New Roman" w:hAnsi="Times New Roman" w:cs="Times New Roman"/>
          <w:i/>
          <w:sz w:val="24"/>
          <w:szCs w:val="24"/>
        </w:rPr>
        <w:t xml:space="preserve"> del documento</w:t>
      </w:r>
      <w:r w:rsidRPr="00FF309F">
        <w:rPr>
          <w:rFonts w:ascii="Times New Roman" w:hAnsi="Times New Roman" w:cs="Times New Roman"/>
          <w:i/>
          <w:sz w:val="24"/>
          <w:szCs w:val="24"/>
        </w:rPr>
        <w:t xml:space="preserve"> costituiscono la premessa che motiva le scelte degli interventi e dei progetti</w:t>
      </w:r>
      <w:r w:rsidR="00EF220E">
        <w:rPr>
          <w:rFonts w:ascii="Times New Roman" w:hAnsi="Times New Roman" w:cs="Times New Roman"/>
          <w:i/>
          <w:sz w:val="24"/>
          <w:szCs w:val="24"/>
        </w:rPr>
        <w:t>,</w:t>
      </w:r>
      <w:r w:rsidRPr="00FF309F">
        <w:rPr>
          <w:rFonts w:ascii="Times New Roman" w:hAnsi="Times New Roman" w:cs="Times New Roman"/>
          <w:i/>
          <w:sz w:val="24"/>
          <w:szCs w:val="24"/>
        </w:rPr>
        <w:t xml:space="preserve"> descritti nella </w:t>
      </w:r>
      <w:r w:rsidR="0010578E">
        <w:rPr>
          <w:rFonts w:ascii="Times New Roman" w:hAnsi="Times New Roman" w:cs="Times New Roman"/>
          <w:i/>
          <w:sz w:val="24"/>
          <w:szCs w:val="24"/>
        </w:rPr>
        <w:t>quarta</w:t>
      </w:r>
      <w:r w:rsidR="00F806C0">
        <w:rPr>
          <w:rFonts w:ascii="Times New Roman" w:hAnsi="Times New Roman" w:cs="Times New Roman"/>
          <w:i/>
          <w:sz w:val="24"/>
          <w:szCs w:val="24"/>
        </w:rPr>
        <w:t xml:space="preserve"> </w:t>
      </w:r>
      <w:r w:rsidRPr="00FF309F">
        <w:rPr>
          <w:rFonts w:ascii="Times New Roman" w:hAnsi="Times New Roman" w:cs="Times New Roman"/>
          <w:i/>
          <w:sz w:val="24"/>
          <w:szCs w:val="24"/>
        </w:rPr>
        <w:t>parte successiva</w:t>
      </w:r>
      <w:r w:rsidR="00B50500">
        <w:rPr>
          <w:rFonts w:ascii="Times New Roman" w:hAnsi="Times New Roman" w:cs="Times New Roman"/>
          <w:i/>
          <w:sz w:val="24"/>
          <w:szCs w:val="24"/>
        </w:rPr>
        <w:t xml:space="preserve"> e meglio dettagliati nelle schede allegata al presente documento</w:t>
      </w:r>
      <w:r>
        <w:rPr>
          <w:rFonts w:ascii="Times New Roman" w:hAnsi="Times New Roman" w:cs="Times New Roman"/>
          <w:i/>
          <w:sz w:val="24"/>
          <w:szCs w:val="24"/>
        </w:rPr>
        <w:t>.</w:t>
      </w:r>
    </w:p>
    <w:p w14:paraId="25D9299A" w14:textId="77777777" w:rsidR="009459D2" w:rsidRPr="00131A1F" w:rsidRDefault="009458F5" w:rsidP="00D92A8E">
      <w:pPr>
        <w:spacing w:after="120" w:line="240" w:lineRule="auto"/>
        <w:jc w:val="both"/>
        <w:rPr>
          <w:rFonts w:ascii="Verdana" w:hAnsi="Verdana"/>
          <w:b/>
          <w:color w:val="C00000"/>
          <w:sz w:val="24"/>
          <w:szCs w:val="24"/>
        </w:rPr>
      </w:pPr>
      <w:r>
        <w:rPr>
          <w:rFonts w:ascii="Verdana" w:hAnsi="Verdana"/>
          <w:b/>
          <w:color w:val="C00000"/>
          <w:sz w:val="24"/>
          <w:szCs w:val="24"/>
        </w:rPr>
        <w:lastRenderedPageBreak/>
        <w:t>Quarta</w:t>
      </w:r>
      <w:r w:rsidRPr="00131A1F">
        <w:rPr>
          <w:rFonts w:ascii="Verdana" w:hAnsi="Verdana"/>
          <w:b/>
          <w:color w:val="C00000"/>
          <w:sz w:val="24"/>
          <w:szCs w:val="24"/>
        </w:rPr>
        <w:t xml:space="preserve"> </w:t>
      </w:r>
      <w:r w:rsidR="009459D2" w:rsidRPr="00131A1F">
        <w:rPr>
          <w:rFonts w:ascii="Verdana" w:hAnsi="Verdana"/>
          <w:b/>
          <w:color w:val="C00000"/>
          <w:sz w:val="24"/>
          <w:szCs w:val="24"/>
        </w:rPr>
        <w:t>parte</w:t>
      </w:r>
    </w:p>
    <w:p w14:paraId="171DBC02" w14:textId="77777777" w:rsidR="009459D2" w:rsidRPr="00D92A8E" w:rsidRDefault="009459D2" w:rsidP="00D92A8E">
      <w:pPr>
        <w:spacing w:after="120" w:line="240" w:lineRule="auto"/>
        <w:jc w:val="both"/>
        <w:rPr>
          <w:rFonts w:ascii="Verdana" w:hAnsi="Verdana"/>
          <w:b/>
          <w:color w:val="C00000"/>
          <w:sz w:val="24"/>
          <w:szCs w:val="24"/>
        </w:rPr>
      </w:pPr>
      <w:r w:rsidRPr="00131A1F">
        <w:rPr>
          <w:rFonts w:ascii="Verdana" w:hAnsi="Verdana"/>
          <w:b/>
          <w:color w:val="C00000"/>
          <w:sz w:val="24"/>
          <w:szCs w:val="24"/>
        </w:rPr>
        <w:t>L’intervento di sistema e le misure sostenute dal Recovery Plan, Fondo Complementare: il “Cantiere Centro Italia</w:t>
      </w:r>
      <w:r w:rsidRPr="00D92A8E">
        <w:rPr>
          <w:rFonts w:ascii="Verdana" w:hAnsi="Verdana"/>
          <w:b/>
          <w:color w:val="C00000"/>
          <w:sz w:val="24"/>
          <w:szCs w:val="24"/>
        </w:rPr>
        <w:t xml:space="preserve">” </w:t>
      </w:r>
    </w:p>
    <w:p w14:paraId="6AC26201" w14:textId="77777777" w:rsidR="009459D2" w:rsidRPr="00131A1F" w:rsidRDefault="009459D2" w:rsidP="004A19F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riferimento agli obiettivi della presente strategia unitaria, il Recovery plan fornisce gli elementi per l’attivazione di programmi di intervento e per il sostegno di progetti attraverso finanziamenti di misure coerenti. </w:t>
      </w:r>
      <w:r w:rsidRPr="00131A1F">
        <w:rPr>
          <w:rFonts w:ascii="Times New Roman" w:hAnsi="Times New Roman" w:cs="Times New Roman"/>
          <w:sz w:val="24"/>
          <w:szCs w:val="24"/>
        </w:rPr>
        <w:t>L’obiettivo del programma unitario di intervento è quello di ricreare un ambiente idoneo allo sviluppo sociale ed alla crescita economica, facendo leva sul rapporto tra le comunità locali ed il contesto di riferimento</w:t>
      </w:r>
      <w:r>
        <w:rPr>
          <w:rFonts w:ascii="Times New Roman" w:hAnsi="Times New Roman" w:cs="Times New Roman"/>
          <w:sz w:val="24"/>
          <w:szCs w:val="24"/>
        </w:rPr>
        <w:t>, tenendo conto, soprattutto, delle fragilità di sistema già presenti prima della pandemia</w:t>
      </w:r>
      <w:r w:rsidRPr="00131A1F">
        <w:rPr>
          <w:rFonts w:ascii="Times New Roman" w:hAnsi="Times New Roman" w:cs="Times New Roman"/>
          <w:sz w:val="24"/>
          <w:szCs w:val="24"/>
        </w:rPr>
        <w:t xml:space="preserve">. Questo si determina attraverso la combinazione di azioni tra loro integrate che generano valore, liberano le energie produttive, rafforzano il saper fare e creano convenienze alla residenzialità e al fare impresa. Questa ripartenza si rende possibile nella combinazione tra i diversi interventi, che vanno visti in modo del tutto complementare, in quanto il fattore di spinta e di rigenerazione si rende possibile solo attraverso la connessione tra gli investimenti e le </w:t>
      </w:r>
      <w:r>
        <w:rPr>
          <w:rFonts w:ascii="Times New Roman" w:hAnsi="Times New Roman" w:cs="Times New Roman"/>
          <w:sz w:val="24"/>
          <w:szCs w:val="24"/>
        </w:rPr>
        <w:t>ricadute</w:t>
      </w:r>
      <w:r w:rsidRPr="00131A1F">
        <w:rPr>
          <w:rFonts w:ascii="Times New Roman" w:hAnsi="Times New Roman" w:cs="Times New Roman"/>
          <w:sz w:val="24"/>
          <w:szCs w:val="24"/>
        </w:rPr>
        <w:t xml:space="preserve"> sul tessuto sociale e produttivo. </w:t>
      </w:r>
    </w:p>
    <w:p w14:paraId="3E36B2EE" w14:textId="77777777" w:rsidR="009459D2" w:rsidRPr="00131A1F" w:rsidRDefault="009459D2" w:rsidP="004A19F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131A1F">
        <w:rPr>
          <w:rFonts w:ascii="Times New Roman" w:hAnsi="Times New Roman" w:cs="Times New Roman"/>
          <w:sz w:val="24"/>
          <w:szCs w:val="24"/>
        </w:rPr>
        <w:t>Un’azione di sistema, in grado di riattivare i territori in difficoltà</w:t>
      </w:r>
      <w:r>
        <w:rPr>
          <w:rFonts w:ascii="Times New Roman" w:hAnsi="Times New Roman" w:cs="Times New Roman"/>
          <w:sz w:val="24"/>
          <w:szCs w:val="24"/>
        </w:rPr>
        <w:t xml:space="preserve">, </w:t>
      </w:r>
      <w:r w:rsidRPr="00131A1F">
        <w:rPr>
          <w:rFonts w:ascii="Times New Roman" w:hAnsi="Times New Roman" w:cs="Times New Roman"/>
          <w:sz w:val="24"/>
          <w:szCs w:val="24"/>
        </w:rPr>
        <w:t xml:space="preserve">di determinare le condizioni per un nuovo popolamento </w:t>
      </w:r>
      <w:r w:rsidR="00B50500">
        <w:rPr>
          <w:rFonts w:ascii="Times New Roman" w:hAnsi="Times New Roman" w:cs="Times New Roman"/>
          <w:sz w:val="24"/>
          <w:szCs w:val="24"/>
        </w:rPr>
        <w:t xml:space="preserve">e </w:t>
      </w:r>
      <w:r>
        <w:rPr>
          <w:rFonts w:ascii="Times New Roman" w:hAnsi="Times New Roman" w:cs="Times New Roman"/>
          <w:sz w:val="24"/>
          <w:szCs w:val="24"/>
        </w:rPr>
        <w:t>di render</w:t>
      </w:r>
      <w:r w:rsidR="00B50500">
        <w:rPr>
          <w:rFonts w:ascii="Times New Roman" w:hAnsi="Times New Roman" w:cs="Times New Roman"/>
          <w:sz w:val="24"/>
          <w:szCs w:val="24"/>
        </w:rPr>
        <w:t xml:space="preserve">e </w:t>
      </w:r>
      <w:r>
        <w:rPr>
          <w:rFonts w:ascii="Times New Roman" w:hAnsi="Times New Roman" w:cs="Times New Roman"/>
          <w:sz w:val="24"/>
          <w:szCs w:val="24"/>
        </w:rPr>
        <w:t>convenienti nuovi</w:t>
      </w:r>
      <w:r w:rsidRPr="00131A1F">
        <w:rPr>
          <w:rFonts w:ascii="Times New Roman" w:hAnsi="Times New Roman" w:cs="Times New Roman"/>
          <w:sz w:val="24"/>
          <w:szCs w:val="24"/>
        </w:rPr>
        <w:t xml:space="preserve"> investimenti, </w:t>
      </w:r>
      <w:r>
        <w:rPr>
          <w:rFonts w:ascii="Times New Roman" w:hAnsi="Times New Roman" w:cs="Times New Roman"/>
          <w:sz w:val="24"/>
          <w:szCs w:val="24"/>
        </w:rPr>
        <w:t>necessita</w:t>
      </w:r>
      <w:r w:rsidRPr="00131A1F">
        <w:rPr>
          <w:rFonts w:ascii="Times New Roman" w:hAnsi="Times New Roman" w:cs="Times New Roman"/>
          <w:sz w:val="24"/>
          <w:szCs w:val="24"/>
        </w:rPr>
        <w:t xml:space="preserve"> </w:t>
      </w:r>
      <w:r w:rsidR="00B50500">
        <w:rPr>
          <w:rFonts w:ascii="Times New Roman" w:hAnsi="Times New Roman" w:cs="Times New Roman"/>
          <w:sz w:val="24"/>
          <w:szCs w:val="24"/>
        </w:rPr>
        <w:t xml:space="preserve">di </w:t>
      </w:r>
      <w:r>
        <w:rPr>
          <w:rFonts w:ascii="Times New Roman" w:hAnsi="Times New Roman" w:cs="Times New Roman"/>
          <w:sz w:val="24"/>
          <w:szCs w:val="24"/>
        </w:rPr>
        <w:t>un coordinamento e</w:t>
      </w:r>
      <w:r w:rsidR="00B50500">
        <w:rPr>
          <w:rFonts w:ascii="Times New Roman" w:hAnsi="Times New Roman" w:cs="Times New Roman"/>
          <w:sz w:val="24"/>
          <w:szCs w:val="24"/>
        </w:rPr>
        <w:t xml:space="preserve"> di </w:t>
      </w:r>
      <w:r>
        <w:rPr>
          <w:rFonts w:ascii="Times New Roman" w:hAnsi="Times New Roman" w:cs="Times New Roman"/>
          <w:sz w:val="24"/>
          <w:szCs w:val="24"/>
        </w:rPr>
        <w:t>una convergenza</w:t>
      </w:r>
      <w:r w:rsidRPr="00131A1F">
        <w:rPr>
          <w:rFonts w:ascii="Times New Roman" w:hAnsi="Times New Roman" w:cs="Times New Roman"/>
          <w:sz w:val="24"/>
          <w:szCs w:val="24"/>
        </w:rPr>
        <w:t xml:space="preserve">, nelle aree interessate, </w:t>
      </w:r>
      <w:r>
        <w:rPr>
          <w:rFonts w:ascii="Times New Roman" w:hAnsi="Times New Roman" w:cs="Times New Roman"/>
          <w:sz w:val="24"/>
          <w:szCs w:val="24"/>
        </w:rPr>
        <w:t xml:space="preserve">di </w:t>
      </w:r>
      <w:r w:rsidRPr="00131A1F">
        <w:rPr>
          <w:rFonts w:ascii="Times New Roman" w:hAnsi="Times New Roman" w:cs="Times New Roman"/>
          <w:sz w:val="24"/>
          <w:szCs w:val="24"/>
        </w:rPr>
        <w:t xml:space="preserve">tre ambiti di intervento: </w:t>
      </w:r>
    </w:p>
    <w:p w14:paraId="537B23E2" w14:textId="77777777" w:rsidR="009459D2" w:rsidRPr="000E3A8B" w:rsidRDefault="009459D2"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0E3A8B">
        <w:rPr>
          <w:rFonts w:ascii="Times New Roman" w:hAnsi="Times New Roman" w:cs="Times New Roman"/>
          <w:sz w:val="24"/>
          <w:szCs w:val="24"/>
        </w:rPr>
        <w:t xml:space="preserve">il </w:t>
      </w:r>
      <w:r w:rsidRPr="00757C26">
        <w:rPr>
          <w:rFonts w:ascii="Times New Roman" w:hAnsi="Times New Roman" w:cs="Times New Roman"/>
          <w:b/>
          <w:sz w:val="24"/>
          <w:szCs w:val="24"/>
        </w:rPr>
        <w:t>miglioramento del sistema infrastrutturale pubblico</w:t>
      </w:r>
      <w:r w:rsidRPr="000E3A8B">
        <w:rPr>
          <w:rFonts w:ascii="Times New Roman" w:hAnsi="Times New Roman" w:cs="Times New Roman"/>
          <w:sz w:val="24"/>
          <w:szCs w:val="24"/>
        </w:rPr>
        <w:t xml:space="preserve"> (strade, </w:t>
      </w:r>
      <w:r w:rsidRPr="002563C1">
        <w:rPr>
          <w:rFonts w:ascii="Times New Roman" w:hAnsi="Times New Roman" w:cs="Times New Roman"/>
          <w:sz w:val="24"/>
          <w:szCs w:val="24"/>
        </w:rPr>
        <w:t>ferrovie,</w:t>
      </w:r>
      <w:r w:rsidRPr="000E3A8B">
        <w:rPr>
          <w:rFonts w:ascii="Times New Roman" w:hAnsi="Times New Roman" w:cs="Times New Roman"/>
          <w:sz w:val="24"/>
          <w:szCs w:val="24"/>
        </w:rPr>
        <w:t xml:space="preserve"> mobilità urbana</w:t>
      </w:r>
      <w:r>
        <w:rPr>
          <w:rFonts w:ascii="Times New Roman" w:hAnsi="Times New Roman" w:cs="Times New Roman"/>
          <w:sz w:val="24"/>
          <w:szCs w:val="24"/>
        </w:rPr>
        <w:t xml:space="preserve"> ed extraurbana multimodale</w:t>
      </w:r>
      <w:r w:rsidRPr="000E3A8B">
        <w:rPr>
          <w:rFonts w:ascii="Times New Roman" w:hAnsi="Times New Roman" w:cs="Times New Roman"/>
          <w:sz w:val="24"/>
          <w:szCs w:val="24"/>
        </w:rPr>
        <w:t xml:space="preserve">, </w:t>
      </w:r>
      <w:r w:rsidRPr="002563C1">
        <w:rPr>
          <w:rFonts w:ascii="Times New Roman" w:hAnsi="Times New Roman" w:cs="Times New Roman"/>
          <w:sz w:val="24"/>
          <w:szCs w:val="24"/>
        </w:rPr>
        <w:t>nodi di scambio</w:t>
      </w:r>
      <w:r w:rsidRPr="000E3A8B">
        <w:rPr>
          <w:rFonts w:ascii="Times New Roman" w:hAnsi="Times New Roman" w:cs="Times New Roman"/>
          <w:sz w:val="24"/>
          <w:szCs w:val="24"/>
        </w:rPr>
        <w:t>)</w:t>
      </w:r>
      <w:r w:rsidR="00734129">
        <w:rPr>
          <w:rFonts w:ascii="Times New Roman" w:hAnsi="Times New Roman" w:cs="Times New Roman"/>
          <w:sz w:val="24"/>
          <w:szCs w:val="24"/>
        </w:rPr>
        <w:t xml:space="preserve"> </w:t>
      </w:r>
      <w:r w:rsidRPr="000E3A8B">
        <w:rPr>
          <w:rFonts w:ascii="Times New Roman" w:hAnsi="Times New Roman" w:cs="Times New Roman"/>
          <w:sz w:val="24"/>
          <w:szCs w:val="24"/>
        </w:rPr>
        <w:t>ed il completamento della ricostruzione e della messa in sicurezza antisismica degli edifici pubblici e privati, anche destinati alle attività turistiche, commerciali e produttive. In particolare, data la vocazione turistico-ricettiva dei territori interessati, speciale attenzione va dedicata al potenziamento delle infrastrutture connesse al turismo</w:t>
      </w:r>
      <w:r>
        <w:rPr>
          <w:rFonts w:ascii="Times New Roman" w:hAnsi="Times New Roman" w:cs="Times New Roman"/>
          <w:sz w:val="24"/>
          <w:szCs w:val="24"/>
        </w:rPr>
        <w:t>, oltre a quelle al servizio delle aree interne</w:t>
      </w:r>
      <w:r w:rsidRPr="000E3A8B">
        <w:rPr>
          <w:rFonts w:ascii="Times New Roman" w:hAnsi="Times New Roman" w:cs="Times New Roman"/>
          <w:sz w:val="24"/>
          <w:szCs w:val="24"/>
        </w:rPr>
        <w:t xml:space="preserve">, garantendone la sostenibilità e la compatibilità con le caratteristiche peculiari storico-architettoniche ed ambientali dei siti interessati; </w:t>
      </w:r>
    </w:p>
    <w:p w14:paraId="361C839F" w14:textId="77777777" w:rsidR="009459D2" w:rsidRPr="000E3A8B" w:rsidRDefault="009459D2"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0E3A8B">
        <w:rPr>
          <w:rFonts w:ascii="Times New Roman" w:hAnsi="Times New Roman" w:cs="Times New Roman"/>
          <w:sz w:val="24"/>
          <w:szCs w:val="24"/>
        </w:rPr>
        <w:t>la realizzazione</w:t>
      </w:r>
      <w:r>
        <w:rPr>
          <w:rFonts w:ascii="Times New Roman" w:hAnsi="Times New Roman" w:cs="Times New Roman"/>
          <w:sz w:val="24"/>
          <w:szCs w:val="24"/>
        </w:rPr>
        <w:t>,</w:t>
      </w:r>
      <w:r w:rsidRPr="000E3A8B">
        <w:rPr>
          <w:rFonts w:ascii="Times New Roman" w:hAnsi="Times New Roman" w:cs="Times New Roman"/>
          <w:sz w:val="24"/>
          <w:szCs w:val="24"/>
        </w:rPr>
        <w:t xml:space="preserve"> sul territorio</w:t>
      </w:r>
      <w:r>
        <w:rPr>
          <w:rFonts w:ascii="Times New Roman" w:hAnsi="Times New Roman" w:cs="Times New Roman"/>
          <w:sz w:val="24"/>
          <w:szCs w:val="24"/>
        </w:rPr>
        <w:t>,</w:t>
      </w:r>
      <w:r w:rsidRPr="000E3A8B">
        <w:rPr>
          <w:rFonts w:ascii="Times New Roman" w:hAnsi="Times New Roman" w:cs="Times New Roman"/>
          <w:sz w:val="24"/>
          <w:szCs w:val="24"/>
        </w:rPr>
        <w:t xml:space="preserve"> di una </w:t>
      </w:r>
      <w:r w:rsidRPr="002B465D">
        <w:rPr>
          <w:rFonts w:ascii="Times New Roman" w:hAnsi="Times New Roman" w:cs="Times New Roman"/>
          <w:b/>
          <w:sz w:val="24"/>
          <w:szCs w:val="24"/>
        </w:rPr>
        <w:t>infrastruttura digitale</w:t>
      </w:r>
      <w:r w:rsidRPr="000E3A8B">
        <w:rPr>
          <w:rFonts w:ascii="Times New Roman" w:hAnsi="Times New Roman" w:cs="Times New Roman"/>
          <w:sz w:val="24"/>
          <w:szCs w:val="24"/>
        </w:rPr>
        <w:t xml:space="preserve"> di riferimento, efficace ed accessibile, e delle opere che riguardano </w:t>
      </w:r>
      <w:r w:rsidRPr="002B465D">
        <w:rPr>
          <w:rFonts w:ascii="Times New Roman" w:hAnsi="Times New Roman" w:cs="Times New Roman"/>
          <w:sz w:val="24"/>
          <w:szCs w:val="24"/>
        </w:rPr>
        <w:t>l’</w:t>
      </w:r>
      <w:r w:rsidRPr="002B465D">
        <w:rPr>
          <w:rFonts w:ascii="Times New Roman" w:hAnsi="Times New Roman" w:cs="Times New Roman"/>
          <w:b/>
          <w:sz w:val="24"/>
          <w:szCs w:val="24"/>
        </w:rPr>
        <w:t xml:space="preserve">efficientamento energetico </w:t>
      </w:r>
      <w:r w:rsidRPr="000E3A8B">
        <w:rPr>
          <w:rFonts w:ascii="Times New Roman" w:hAnsi="Times New Roman" w:cs="Times New Roman"/>
          <w:sz w:val="24"/>
          <w:szCs w:val="24"/>
        </w:rPr>
        <w:t>e la dotazione di sistemi per migliorare la vivibilità dei borghi</w:t>
      </w:r>
      <w:r w:rsidR="0093424B">
        <w:rPr>
          <w:rFonts w:ascii="Times New Roman" w:hAnsi="Times New Roman" w:cs="Times New Roman"/>
          <w:sz w:val="24"/>
          <w:szCs w:val="24"/>
        </w:rPr>
        <w:t>,</w:t>
      </w:r>
      <w:r w:rsidR="005D07B0">
        <w:rPr>
          <w:rFonts w:ascii="Times New Roman" w:hAnsi="Times New Roman" w:cs="Times New Roman"/>
          <w:sz w:val="24"/>
          <w:szCs w:val="24"/>
        </w:rPr>
        <w:t xml:space="preserve"> </w:t>
      </w:r>
      <w:r w:rsidR="0093424B">
        <w:rPr>
          <w:rFonts w:ascii="Times New Roman" w:hAnsi="Times New Roman" w:cs="Times New Roman"/>
          <w:sz w:val="24"/>
          <w:szCs w:val="24"/>
        </w:rPr>
        <w:t>delle città</w:t>
      </w:r>
      <w:r w:rsidR="0093424B" w:rsidRPr="000E3A8B">
        <w:rPr>
          <w:rFonts w:ascii="Times New Roman" w:hAnsi="Times New Roman" w:cs="Times New Roman"/>
          <w:sz w:val="24"/>
          <w:szCs w:val="24"/>
        </w:rPr>
        <w:t xml:space="preserve"> </w:t>
      </w:r>
      <w:r w:rsidRPr="000E3A8B">
        <w:rPr>
          <w:rFonts w:ascii="Times New Roman" w:hAnsi="Times New Roman" w:cs="Times New Roman"/>
          <w:sz w:val="24"/>
          <w:szCs w:val="24"/>
        </w:rPr>
        <w:t>e degli spazi urbani (dall’illuminazione pubblica ai servizi di rete digitali, dal teleriscaldamento all’energia rinnovabile), anche con il supporto di tecnologie IoT, implementando e rendendo efficienti, in tal modo, i networks ed i servizi per i cittadini e le imprese, in linea con le indicazioni UE in merito agli obiettivi per l’attuazione delle cosiddette “</w:t>
      </w:r>
      <w:proofErr w:type="spellStart"/>
      <w:r w:rsidRPr="000E3A8B">
        <w:rPr>
          <w:rFonts w:ascii="Times New Roman" w:hAnsi="Times New Roman" w:cs="Times New Roman"/>
          <w:sz w:val="24"/>
          <w:szCs w:val="24"/>
        </w:rPr>
        <w:t>smart</w:t>
      </w:r>
      <w:proofErr w:type="spellEnd"/>
      <w:r w:rsidRPr="000E3A8B">
        <w:rPr>
          <w:rFonts w:ascii="Times New Roman" w:hAnsi="Times New Roman" w:cs="Times New Roman"/>
          <w:sz w:val="24"/>
          <w:szCs w:val="24"/>
        </w:rPr>
        <w:t xml:space="preserve"> </w:t>
      </w:r>
      <w:proofErr w:type="spellStart"/>
      <w:r w:rsidRPr="000E3A8B">
        <w:rPr>
          <w:rFonts w:ascii="Times New Roman" w:hAnsi="Times New Roman" w:cs="Times New Roman"/>
          <w:sz w:val="24"/>
          <w:szCs w:val="24"/>
        </w:rPr>
        <w:t>cities</w:t>
      </w:r>
      <w:proofErr w:type="spellEnd"/>
      <w:r w:rsidRPr="000E3A8B">
        <w:rPr>
          <w:rFonts w:ascii="Times New Roman" w:hAnsi="Times New Roman" w:cs="Times New Roman"/>
          <w:sz w:val="24"/>
          <w:szCs w:val="24"/>
        </w:rPr>
        <w:t xml:space="preserve">”; </w:t>
      </w:r>
    </w:p>
    <w:p w14:paraId="7EF24186" w14:textId="77777777" w:rsidR="00AC70E2" w:rsidRDefault="00AC70E2" w:rsidP="007A6A4F">
      <w:pPr>
        <w:pStyle w:val="Testocommento"/>
        <w:numPr>
          <w:ilvl w:val="0"/>
          <w:numId w:val="5"/>
        </w:numPr>
        <w:pBdr>
          <w:top w:val="nil"/>
          <w:left w:val="nil"/>
          <w:bottom w:val="nil"/>
          <w:right w:val="nil"/>
          <w:between w:val="nil"/>
          <w:bar w:val="nil"/>
        </w:pBdr>
        <w:spacing w:after="120"/>
        <w:ind w:left="714" w:hanging="357"/>
        <w:jc w:val="both"/>
        <w:rPr>
          <w:rFonts w:ascii="Times New Roman" w:hAnsi="Times New Roman" w:cs="Times New Roman"/>
          <w:sz w:val="24"/>
          <w:szCs w:val="24"/>
        </w:rPr>
      </w:pPr>
      <w:r w:rsidRPr="000E3A8B">
        <w:rPr>
          <w:rFonts w:ascii="Times New Roman" w:hAnsi="Times New Roman" w:cs="Times New Roman"/>
          <w:sz w:val="24"/>
          <w:szCs w:val="24"/>
        </w:rPr>
        <w:t xml:space="preserve">interventi volti a stimolare gli </w:t>
      </w:r>
      <w:r w:rsidRPr="002B465D">
        <w:rPr>
          <w:rFonts w:ascii="Times New Roman" w:hAnsi="Times New Roman" w:cs="Times New Roman"/>
          <w:b/>
          <w:sz w:val="24"/>
          <w:szCs w:val="24"/>
        </w:rPr>
        <w:t xml:space="preserve">investimenti </w:t>
      </w:r>
      <w:r w:rsidRPr="000E3A8B">
        <w:rPr>
          <w:rFonts w:ascii="Times New Roman" w:hAnsi="Times New Roman" w:cs="Times New Roman"/>
          <w:sz w:val="24"/>
          <w:szCs w:val="24"/>
        </w:rPr>
        <w:t xml:space="preserve">in grado di valorizzare le vocazioni produttive del territorio, in ogni settore economico, di compensare i costi sostenuti dalle imprese che fanno </w:t>
      </w:r>
      <w:r>
        <w:rPr>
          <w:rFonts w:ascii="Times New Roman" w:hAnsi="Times New Roman" w:cs="Times New Roman"/>
          <w:sz w:val="24"/>
          <w:szCs w:val="24"/>
        </w:rPr>
        <w:t xml:space="preserve">ricerca, sviluppo e </w:t>
      </w:r>
      <w:r w:rsidRPr="000E3A8B">
        <w:rPr>
          <w:rFonts w:ascii="Times New Roman" w:hAnsi="Times New Roman" w:cs="Times New Roman"/>
          <w:sz w:val="24"/>
          <w:szCs w:val="24"/>
        </w:rPr>
        <w:t>innovazione, in particolare nell’ambito dell’ecosostenibilità e delle tecnologie digitali, di valorizzare la residenzialità e di sostenere le iniziative di impresa che fanno leva sulla creatività, sull’ambiente, sul turismo, specie se di carattere ricettivo, sulla cultura</w:t>
      </w:r>
      <w:r>
        <w:rPr>
          <w:rFonts w:ascii="Times New Roman" w:hAnsi="Times New Roman" w:cs="Times New Roman"/>
          <w:sz w:val="24"/>
          <w:szCs w:val="24"/>
        </w:rPr>
        <w:t>,</w:t>
      </w:r>
      <w:r w:rsidRPr="000E3A8B">
        <w:rPr>
          <w:rFonts w:ascii="Times New Roman" w:hAnsi="Times New Roman" w:cs="Times New Roman"/>
          <w:sz w:val="24"/>
          <w:szCs w:val="24"/>
        </w:rPr>
        <w:t xml:space="preserve"> </w:t>
      </w:r>
      <w:r w:rsidRPr="008E27D8">
        <w:rPr>
          <w:rFonts w:ascii="Times New Roman" w:hAnsi="Times New Roman" w:cs="Times New Roman"/>
          <w:sz w:val="24"/>
          <w:szCs w:val="24"/>
        </w:rPr>
        <w:t>sull’arte, sull’artigianato</w:t>
      </w:r>
      <w:r w:rsidRPr="003466E0">
        <w:rPr>
          <w:rFonts w:ascii="Times New Roman" w:hAnsi="Times New Roman" w:cs="Times New Roman"/>
          <w:sz w:val="24"/>
          <w:szCs w:val="24"/>
        </w:rPr>
        <w:t xml:space="preserve"> e sulla promozione di avanzati servizi sociali </w:t>
      </w:r>
      <w:r w:rsidRPr="008E27D8">
        <w:rPr>
          <w:rFonts w:ascii="Times New Roman" w:hAnsi="Times New Roman" w:cs="Times New Roman"/>
          <w:sz w:val="24"/>
          <w:szCs w:val="24"/>
        </w:rPr>
        <w:t>e di animazione artistica-culturale</w:t>
      </w:r>
      <w:r w:rsidRPr="000E3A8B">
        <w:rPr>
          <w:rFonts w:ascii="Times New Roman" w:hAnsi="Times New Roman" w:cs="Times New Roman"/>
          <w:sz w:val="24"/>
          <w:szCs w:val="24"/>
        </w:rPr>
        <w:t xml:space="preserve"> ed alla persona. </w:t>
      </w:r>
    </w:p>
    <w:p w14:paraId="2EC8BEEC" w14:textId="77777777" w:rsidR="00B17BA9" w:rsidRPr="000E3A8B" w:rsidRDefault="00B17BA9" w:rsidP="00B17BA9">
      <w:pPr>
        <w:pStyle w:val="Testocommento"/>
        <w:pBdr>
          <w:top w:val="nil"/>
          <w:left w:val="nil"/>
          <w:bottom w:val="nil"/>
          <w:right w:val="nil"/>
          <w:between w:val="nil"/>
          <w:bar w:val="nil"/>
        </w:pBdr>
        <w:spacing w:after="120"/>
        <w:ind w:left="714"/>
        <w:jc w:val="both"/>
        <w:rPr>
          <w:rFonts w:ascii="Times New Roman" w:hAnsi="Times New Roman" w:cs="Times New Roman"/>
          <w:sz w:val="24"/>
          <w:szCs w:val="24"/>
        </w:rPr>
      </w:pPr>
    </w:p>
    <w:p w14:paraId="66512658" w14:textId="77777777" w:rsidR="009459D2" w:rsidRDefault="009459D2" w:rsidP="009459D2">
      <w:pPr>
        <w:jc w:val="both"/>
        <w:rPr>
          <w:rFonts w:ascii="Times New Roman" w:hAnsi="Times New Roman" w:cs="Times New Roman"/>
          <w:i/>
          <w:sz w:val="24"/>
          <w:szCs w:val="24"/>
        </w:rPr>
      </w:pPr>
      <w:r>
        <w:rPr>
          <w:rFonts w:ascii="Times New Roman" w:hAnsi="Times New Roman" w:cs="Times New Roman"/>
          <w:i/>
          <w:sz w:val="24"/>
          <w:szCs w:val="24"/>
        </w:rPr>
        <w:tab/>
      </w:r>
      <w:r w:rsidRPr="008C5509">
        <w:rPr>
          <w:rFonts w:ascii="Times New Roman" w:hAnsi="Times New Roman" w:cs="Times New Roman"/>
          <w:i/>
          <w:sz w:val="24"/>
          <w:szCs w:val="24"/>
        </w:rPr>
        <w:t xml:space="preserve">Sono questi gli ambiti di intervento che permettono alle riforme in corso di fare sistema e di ricadere sul territorio attraverso investimenti mirati che restituiscono valore aggiunto </w:t>
      </w:r>
      <w:r w:rsidR="00B50500">
        <w:rPr>
          <w:rFonts w:ascii="Times New Roman" w:hAnsi="Times New Roman" w:cs="Times New Roman"/>
          <w:i/>
          <w:sz w:val="24"/>
          <w:szCs w:val="24"/>
        </w:rPr>
        <w:t xml:space="preserve">rispetto </w:t>
      </w:r>
      <w:r w:rsidRPr="008C5509">
        <w:rPr>
          <w:rFonts w:ascii="Times New Roman" w:hAnsi="Times New Roman" w:cs="Times New Roman"/>
          <w:i/>
          <w:sz w:val="24"/>
          <w:szCs w:val="24"/>
        </w:rPr>
        <w:t>a quanto finanziato tramite il Recovery Fund, che agisce sul territorio</w:t>
      </w:r>
      <w:r w:rsidR="00B50500">
        <w:rPr>
          <w:rFonts w:ascii="Times New Roman" w:hAnsi="Times New Roman" w:cs="Times New Roman"/>
          <w:i/>
          <w:sz w:val="24"/>
          <w:szCs w:val="24"/>
        </w:rPr>
        <w:t>,</w:t>
      </w:r>
      <w:r w:rsidRPr="008C5509">
        <w:rPr>
          <w:rFonts w:ascii="Times New Roman" w:hAnsi="Times New Roman" w:cs="Times New Roman"/>
          <w:i/>
          <w:sz w:val="24"/>
          <w:szCs w:val="24"/>
        </w:rPr>
        <w:t xml:space="preserve"> tramite la quota parte destinata alle aree del terremoto dalle misure previste a livello generale dal Piano per la resilienza e la ripresa PNRR</w:t>
      </w:r>
      <w:r w:rsidR="00C82897" w:rsidRPr="00C82897">
        <w:rPr>
          <w:rFonts w:ascii="Times New Roman" w:hAnsi="Times New Roman" w:cs="Times New Roman"/>
          <w:i/>
          <w:sz w:val="24"/>
          <w:szCs w:val="24"/>
        </w:rPr>
        <w:t>.</w:t>
      </w:r>
      <w:r w:rsidRPr="00C82897">
        <w:rPr>
          <w:rFonts w:ascii="Times New Roman" w:hAnsi="Times New Roman" w:cs="Times New Roman"/>
          <w:i/>
          <w:sz w:val="24"/>
          <w:szCs w:val="24"/>
        </w:rPr>
        <w:t xml:space="preserve"> </w:t>
      </w:r>
    </w:p>
    <w:p w14:paraId="5238EA2A" w14:textId="77777777" w:rsidR="005C650A" w:rsidRDefault="009459D2" w:rsidP="005C650A">
      <w:pPr>
        <w:jc w:val="both"/>
        <w:rPr>
          <w:rFonts w:ascii="Times New Roman" w:hAnsi="Times New Roman" w:cs="Times New Roman"/>
          <w:sz w:val="24"/>
          <w:szCs w:val="24"/>
        </w:rPr>
      </w:pPr>
      <w:r>
        <w:rPr>
          <w:rFonts w:ascii="Times New Roman" w:hAnsi="Times New Roman" w:cs="Times New Roman"/>
          <w:i/>
          <w:sz w:val="24"/>
          <w:szCs w:val="24"/>
        </w:rPr>
        <w:lastRenderedPageBreak/>
        <w:tab/>
      </w:r>
      <w:r w:rsidR="00B50500">
        <w:rPr>
          <w:rFonts w:ascii="Times New Roman" w:hAnsi="Times New Roman" w:cs="Times New Roman"/>
          <w:i/>
          <w:sz w:val="24"/>
          <w:szCs w:val="24"/>
        </w:rPr>
        <w:t>La misura</w:t>
      </w:r>
      <w:r>
        <w:rPr>
          <w:rFonts w:ascii="Times New Roman" w:hAnsi="Times New Roman" w:cs="Times New Roman"/>
          <w:i/>
          <w:sz w:val="24"/>
          <w:szCs w:val="24"/>
        </w:rPr>
        <w:t xml:space="preserve"> del Fondo complementare </w:t>
      </w:r>
      <w:proofErr w:type="spellStart"/>
      <w:r>
        <w:rPr>
          <w:rFonts w:ascii="Times New Roman" w:hAnsi="Times New Roman" w:cs="Times New Roman"/>
          <w:i/>
          <w:sz w:val="24"/>
          <w:szCs w:val="24"/>
        </w:rPr>
        <w:t>Pnrr</w:t>
      </w:r>
      <w:proofErr w:type="spellEnd"/>
      <w:r>
        <w:rPr>
          <w:rFonts w:ascii="Times New Roman" w:hAnsi="Times New Roman" w:cs="Times New Roman"/>
          <w:i/>
          <w:sz w:val="24"/>
          <w:szCs w:val="24"/>
        </w:rPr>
        <w:t xml:space="preserve"> </w:t>
      </w:r>
      <w:r w:rsidR="00B50500">
        <w:rPr>
          <w:rFonts w:ascii="Times New Roman" w:hAnsi="Times New Roman" w:cs="Times New Roman"/>
          <w:i/>
          <w:sz w:val="24"/>
          <w:szCs w:val="24"/>
        </w:rPr>
        <w:t>dedicata alle a</w:t>
      </w:r>
      <w:r>
        <w:rPr>
          <w:rFonts w:ascii="Times New Roman" w:hAnsi="Times New Roman" w:cs="Times New Roman"/>
          <w:i/>
          <w:sz w:val="24"/>
          <w:szCs w:val="24"/>
        </w:rPr>
        <w:t>ree terremoto 2009 e 2016 agis</w:t>
      </w:r>
      <w:r w:rsidR="00B50500">
        <w:rPr>
          <w:rFonts w:ascii="Times New Roman" w:hAnsi="Times New Roman" w:cs="Times New Roman"/>
          <w:i/>
          <w:sz w:val="24"/>
          <w:szCs w:val="24"/>
        </w:rPr>
        <w:t>ce</w:t>
      </w:r>
      <w:r>
        <w:rPr>
          <w:rFonts w:ascii="Times New Roman" w:hAnsi="Times New Roman" w:cs="Times New Roman"/>
          <w:i/>
          <w:sz w:val="24"/>
          <w:szCs w:val="24"/>
        </w:rPr>
        <w:t xml:space="preserve">, infatti, in sinergia con le misure e con gli investimenti generali previsti dal </w:t>
      </w:r>
      <w:proofErr w:type="spellStart"/>
      <w:r>
        <w:rPr>
          <w:rFonts w:ascii="Times New Roman" w:hAnsi="Times New Roman" w:cs="Times New Roman"/>
          <w:i/>
          <w:sz w:val="24"/>
          <w:szCs w:val="24"/>
        </w:rPr>
        <w:t>Pnrr</w:t>
      </w:r>
      <w:proofErr w:type="spellEnd"/>
      <w:r>
        <w:rPr>
          <w:rFonts w:ascii="Times New Roman" w:hAnsi="Times New Roman" w:cs="Times New Roman"/>
          <w:i/>
          <w:sz w:val="24"/>
          <w:szCs w:val="24"/>
        </w:rPr>
        <w:t xml:space="preserve"> ordinario sulle aree dei due crateri. </w:t>
      </w:r>
      <w:r w:rsidRPr="00D36D29">
        <w:rPr>
          <w:rFonts w:ascii="Times New Roman" w:hAnsi="Times New Roman" w:cs="Times New Roman"/>
          <w:i/>
          <w:sz w:val="24"/>
          <w:szCs w:val="24"/>
        </w:rPr>
        <w:t>Inoltre, questo sistema di intervento permette di collegare nello stesso programma d’azione le diverse forme di sostegno previste dalla legge italiana, tra cui gli interventi e le agevolazioni del Contratto istituzionale di sviluppo per le aree del terremoto previsto dall’ultima legge di bilancio.</w:t>
      </w:r>
      <w:r w:rsidRPr="00131A1F">
        <w:rPr>
          <w:rFonts w:ascii="Times New Roman" w:hAnsi="Times New Roman" w:cs="Times New Roman"/>
          <w:sz w:val="24"/>
          <w:szCs w:val="24"/>
        </w:rPr>
        <w:t xml:space="preserve">  </w:t>
      </w:r>
    </w:p>
    <w:p w14:paraId="6C7C322F" w14:textId="77777777" w:rsidR="00905824" w:rsidRDefault="00905824" w:rsidP="005C650A">
      <w:pPr>
        <w:jc w:val="both"/>
        <w:rPr>
          <w:rFonts w:ascii="Times New Roman" w:hAnsi="Times New Roman" w:cs="Times New Roman"/>
          <w:sz w:val="24"/>
          <w:szCs w:val="24"/>
        </w:rPr>
      </w:pPr>
    </w:p>
    <w:p w14:paraId="739E289C" w14:textId="77777777" w:rsidR="009459D2" w:rsidRDefault="009459D2" w:rsidP="00352107">
      <w:pPr>
        <w:pStyle w:val="CorpoA"/>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cs="Times New Roman"/>
          <w:b/>
          <w:bCs/>
          <w:i/>
          <w:color w:val="4472C4" w:themeColor="accent1"/>
          <w:lang w:val="it-IT"/>
        </w:rPr>
      </w:pPr>
      <w:r w:rsidRPr="001F58F9">
        <w:rPr>
          <w:rFonts w:cs="Times New Roman"/>
          <w:b/>
          <w:bCs/>
          <w:i/>
          <w:color w:val="4472C4" w:themeColor="accent1"/>
          <w:lang w:val="it-IT"/>
        </w:rPr>
        <w:t>Le linee di azione e gli strumenti del Recovery Fund e del Fondo complementare</w:t>
      </w:r>
    </w:p>
    <w:p w14:paraId="1588EC79" w14:textId="77777777" w:rsidR="005D07B0" w:rsidRPr="001F58F9" w:rsidRDefault="005D07B0" w:rsidP="001F58F9">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080"/>
        <w:jc w:val="both"/>
        <w:rPr>
          <w:rFonts w:cs="Times New Roman"/>
          <w:b/>
          <w:bCs/>
          <w:i/>
          <w:color w:val="4472C4" w:themeColor="accent1"/>
          <w:lang w:val="it-IT"/>
        </w:rPr>
      </w:pPr>
    </w:p>
    <w:p w14:paraId="40E4A4EA" w14:textId="77777777" w:rsidR="009459D2" w:rsidRPr="00131A1F" w:rsidRDefault="009459D2" w:rsidP="004A19F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131A1F">
        <w:rPr>
          <w:rFonts w:ascii="Times New Roman" w:hAnsi="Times New Roman" w:cs="Times New Roman"/>
          <w:sz w:val="24"/>
          <w:szCs w:val="24"/>
        </w:rPr>
        <w:t xml:space="preserve">Per restituire significato e capacità d’agire a sistemi territoriali che si trovano in una forte difficoltà </w:t>
      </w:r>
      <w:r w:rsidR="00F72E45" w:rsidRPr="00131A1F">
        <w:rPr>
          <w:rFonts w:ascii="Times New Roman" w:hAnsi="Times New Roman" w:cs="Times New Roman"/>
          <w:sz w:val="24"/>
          <w:szCs w:val="24"/>
        </w:rPr>
        <w:t>socioeconomica</w:t>
      </w:r>
      <w:r w:rsidRPr="00131A1F">
        <w:rPr>
          <w:rFonts w:ascii="Times New Roman" w:hAnsi="Times New Roman" w:cs="Times New Roman"/>
          <w:sz w:val="24"/>
          <w:szCs w:val="24"/>
        </w:rPr>
        <w:t xml:space="preserve"> si deve intervenire in modo radicale e sistematico perché il processo stesso di ricostruzione possa conseguire l’obiettivo della rinascita dei luoghi e la riattivazione delle comunità.</w:t>
      </w:r>
      <w:r>
        <w:rPr>
          <w:rFonts w:ascii="Times New Roman" w:hAnsi="Times New Roman" w:cs="Times New Roman"/>
          <w:sz w:val="24"/>
          <w:szCs w:val="24"/>
        </w:rPr>
        <w:t xml:space="preserve"> </w:t>
      </w:r>
      <w:r w:rsidRPr="00131A1F">
        <w:rPr>
          <w:rFonts w:ascii="Times New Roman" w:hAnsi="Times New Roman" w:cs="Times New Roman"/>
          <w:sz w:val="24"/>
          <w:szCs w:val="24"/>
        </w:rPr>
        <w:t>Al completamento del processo di ricostruzione e di efficientamento energetico e di messa in sicurezza degli edifici si collega</w:t>
      </w:r>
      <w:r>
        <w:rPr>
          <w:rFonts w:ascii="Times New Roman" w:hAnsi="Times New Roman" w:cs="Times New Roman"/>
          <w:sz w:val="24"/>
          <w:szCs w:val="24"/>
        </w:rPr>
        <w:t>,</w:t>
      </w:r>
      <w:r w:rsidRPr="00131A1F">
        <w:rPr>
          <w:rFonts w:ascii="Times New Roman" w:hAnsi="Times New Roman" w:cs="Times New Roman"/>
          <w:sz w:val="24"/>
          <w:szCs w:val="24"/>
        </w:rPr>
        <w:t xml:space="preserve"> quindi</w:t>
      </w:r>
      <w:r>
        <w:rPr>
          <w:rFonts w:ascii="Times New Roman" w:hAnsi="Times New Roman" w:cs="Times New Roman"/>
          <w:sz w:val="24"/>
          <w:szCs w:val="24"/>
        </w:rPr>
        <w:t>,</w:t>
      </w:r>
      <w:r w:rsidRPr="00131A1F">
        <w:rPr>
          <w:rFonts w:ascii="Times New Roman" w:hAnsi="Times New Roman" w:cs="Times New Roman"/>
          <w:sz w:val="24"/>
          <w:szCs w:val="24"/>
        </w:rPr>
        <w:t xml:space="preserve"> un duplice livello di intervento: </w:t>
      </w:r>
    </w:p>
    <w:p w14:paraId="1E977F60" w14:textId="77777777" w:rsidR="00B32643" w:rsidRPr="000E3A8B" w:rsidRDefault="00B32643" w:rsidP="00B50500">
      <w:pPr>
        <w:pStyle w:val="Paragrafoelenco"/>
        <w:numPr>
          <w:ilvl w:val="2"/>
          <w:numId w:val="9"/>
        </w:numPr>
        <w:spacing w:after="120" w:line="240" w:lineRule="auto"/>
        <w:ind w:left="714" w:hanging="357"/>
        <w:contextualSpacing w:val="0"/>
        <w:jc w:val="both"/>
        <w:rPr>
          <w:rFonts w:ascii="Times New Roman" w:hAnsi="Times New Roman" w:cs="Times New Roman"/>
          <w:sz w:val="24"/>
          <w:szCs w:val="24"/>
        </w:rPr>
      </w:pPr>
      <w:r w:rsidRPr="000E3A8B">
        <w:rPr>
          <w:rFonts w:ascii="Times New Roman" w:hAnsi="Times New Roman" w:cs="Times New Roman"/>
          <w:sz w:val="24"/>
          <w:szCs w:val="24"/>
        </w:rPr>
        <w:t>realizzare le infrastrutture ed i servizi per migliorare la vivibilità dei territori e favorire nuovi</w:t>
      </w:r>
      <w:r>
        <w:rPr>
          <w:rFonts w:ascii="Times New Roman" w:hAnsi="Times New Roman" w:cs="Times New Roman"/>
          <w:sz w:val="24"/>
          <w:szCs w:val="24"/>
        </w:rPr>
        <w:t xml:space="preserve"> </w:t>
      </w:r>
      <w:r w:rsidRPr="000E3A8B">
        <w:rPr>
          <w:rFonts w:ascii="Times New Roman" w:hAnsi="Times New Roman" w:cs="Times New Roman"/>
          <w:sz w:val="24"/>
          <w:szCs w:val="24"/>
        </w:rPr>
        <w:t>insediamenti abitativi, produttivi e turistico-ricettivi;</w:t>
      </w:r>
    </w:p>
    <w:p w14:paraId="34FE3B99" w14:textId="77777777" w:rsidR="00B32643" w:rsidRPr="00131A1F" w:rsidRDefault="00B32643" w:rsidP="007A6A4F">
      <w:pPr>
        <w:pStyle w:val="Paragrafoelenco"/>
        <w:numPr>
          <w:ilvl w:val="2"/>
          <w:numId w:val="9"/>
        </w:numPr>
        <w:spacing w:after="120" w:line="240" w:lineRule="auto"/>
        <w:jc w:val="both"/>
        <w:rPr>
          <w:rFonts w:ascii="Times New Roman" w:hAnsi="Times New Roman" w:cs="Times New Roman"/>
          <w:sz w:val="24"/>
          <w:szCs w:val="24"/>
        </w:rPr>
      </w:pPr>
      <w:r w:rsidRPr="00131A1F">
        <w:rPr>
          <w:rFonts w:ascii="Times New Roman" w:hAnsi="Times New Roman" w:cs="Times New Roman"/>
          <w:sz w:val="24"/>
          <w:szCs w:val="24"/>
        </w:rPr>
        <w:t xml:space="preserve">creare convenienze e servizi destinati alla crescita economica ed alla valorizzazione delle vocazioni produttive ed ambientali del territorio, con una attenzione specifica </w:t>
      </w:r>
      <w:r w:rsidRPr="00BA0DE1">
        <w:rPr>
          <w:rFonts w:ascii="Times New Roman" w:hAnsi="Times New Roman" w:cs="Times New Roman"/>
          <w:sz w:val="24"/>
          <w:szCs w:val="24"/>
        </w:rPr>
        <w:t>alla formazione delle competenze,</w:t>
      </w:r>
      <w:r w:rsidRPr="00131A1F">
        <w:rPr>
          <w:rFonts w:ascii="Times New Roman" w:hAnsi="Times New Roman" w:cs="Times New Roman"/>
          <w:sz w:val="24"/>
          <w:szCs w:val="24"/>
        </w:rPr>
        <w:t xml:space="preserve"> all’innovazione tecnologica e green delle imprese ed al consolidamento del tessuto </w:t>
      </w:r>
      <w:r w:rsidRPr="003466E0">
        <w:rPr>
          <w:rFonts w:ascii="Times New Roman" w:hAnsi="Times New Roman" w:cs="Times New Roman"/>
          <w:sz w:val="24"/>
          <w:szCs w:val="24"/>
        </w:rPr>
        <w:t>socio-economico</w:t>
      </w:r>
      <w:r w:rsidRPr="00131A1F">
        <w:rPr>
          <w:rFonts w:ascii="Times New Roman" w:hAnsi="Times New Roman" w:cs="Times New Roman"/>
          <w:sz w:val="24"/>
          <w:szCs w:val="24"/>
        </w:rPr>
        <w:t xml:space="preserve">. </w:t>
      </w:r>
    </w:p>
    <w:p w14:paraId="18413F7D" w14:textId="77777777" w:rsidR="00DA501D" w:rsidRDefault="009459D2" w:rsidP="004A19F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131A1F">
        <w:rPr>
          <w:rFonts w:ascii="Times New Roman" w:hAnsi="Times New Roman" w:cs="Times New Roman"/>
          <w:sz w:val="24"/>
          <w:szCs w:val="24"/>
        </w:rPr>
        <w:t xml:space="preserve">Perché le città ed i borghi delle aree del terremoto tornino a ripopolarsi, è necessario che siano sicuri, ma anche accoglienti, attrezzati, connessi e sostenibili offrendo, a chi sceglie di abitarvi o di farvi impresa, una serie di valori aggiunti e di servizi (con attenzione particolare a donne, giovani e servizi alla prima infanzia) che possano compensare le maggiori distanze dalle aree urbanizzate e dalle principali vie di comunicazione. Per restituire vitalità alle comunità locali bisogna migliorare, pertanto, le infrastrutture disponibili e rendere accessibili gli spazi e l’ambiente urbano. I luoghi dello “stare insieme” sono fondamentali per costruire comunità coese, migliorare la vivibilità e favorire quelle relazioni che sono importanti anche per le attività economiche. </w:t>
      </w:r>
    </w:p>
    <w:p w14:paraId="1A2D6F43" w14:textId="77777777" w:rsidR="009459D2" w:rsidRDefault="00DA501D" w:rsidP="00C8289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9459D2" w:rsidRPr="00131A1F">
        <w:rPr>
          <w:rFonts w:ascii="Times New Roman" w:hAnsi="Times New Roman" w:cs="Times New Roman"/>
          <w:sz w:val="24"/>
          <w:szCs w:val="24"/>
        </w:rPr>
        <w:t xml:space="preserve">Gli interventi, già previsti nelle linee generali del PNRR, a valere sull’intero territorio nazionale, in questa specifica area, andranno ad interessare e condizionare il modo dell’abitare e del produrre di centinaia di migliaia di abitanti che stavano perdendo la fiducia nella possibilità di permanere in questi luoghi. È evidente che, per avere concrete possibilità di successo, gli investimenti previsti in quest’area dovranno avere il peso necessario per invertire i trend negativi in atto favorendo cambiamenti verso la sostenibilità, inducendo variazioni strutturali dell’armatura urbana e della rete dei servizi. Solo così, potranno avere un valore duraturo e segneranno il reale avvio della transizione verde e digitale, con ricadute importanti e permanenti anche a livello nazionale.  </w:t>
      </w:r>
    </w:p>
    <w:p w14:paraId="5C121071" w14:textId="77777777" w:rsidR="00205A26" w:rsidRPr="0091496C" w:rsidRDefault="00205A26" w:rsidP="00205A26">
      <w:pPr>
        <w:ind w:firstLine="708"/>
        <w:jc w:val="both"/>
        <w:rPr>
          <w:rFonts w:ascii="Times New Roman" w:hAnsi="Times New Roman" w:cs="Times New Roman"/>
          <w:sz w:val="24"/>
          <w:szCs w:val="24"/>
          <w:highlight w:val="yellow"/>
        </w:rPr>
      </w:pPr>
      <w:r>
        <w:rPr>
          <w:rFonts w:ascii="Times New Roman" w:hAnsi="Times New Roman" w:cs="Times New Roman"/>
          <w:sz w:val="24"/>
          <w:szCs w:val="24"/>
        </w:rPr>
        <w:t>Al fine di</w:t>
      </w:r>
      <w:r w:rsidRPr="007537D5">
        <w:rPr>
          <w:rFonts w:ascii="Times New Roman" w:hAnsi="Times New Roman" w:cs="Times New Roman"/>
          <w:sz w:val="24"/>
          <w:szCs w:val="24"/>
        </w:rPr>
        <w:t xml:space="preserve"> </w:t>
      </w:r>
      <w:r>
        <w:rPr>
          <w:rFonts w:ascii="Times New Roman" w:hAnsi="Times New Roman" w:cs="Times New Roman"/>
          <w:sz w:val="24"/>
          <w:szCs w:val="24"/>
        </w:rPr>
        <w:t>defi</w:t>
      </w:r>
      <w:r w:rsidRPr="00C82897">
        <w:rPr>
          <w:rFonts w:ascii="Times New Roman" w:hAnsi="Times New Roman" w:cs="Times New Roman"/>
          <w:sz w:val="24"/>
          <w:szCs w:val="24"/>
        </w:rPr>
        <w:t>nire le linee di azione relative alle aree dei terremoti 2009 e 2016 sono stati sentiti i vari Ministeri coinvolti (Ministero delle Infrastrutture e della Mobilità Sostenibile – MIMS, Ministero della Transizione Ecologica – MITE, Ministero della Cultura – MIC, Ministero per l’Innovazione Tecnologica e la Transizione Digitale - MITD), per far sì che gli interventi del PNRR Complementare riferiti alle aree terremoti 2009 e 2016 siano del tutto complementari alle misure già finanziate dal PNRR ordinario e costituiscano interventi specifici, integrativi ed in sinergia con quanto previsto dalle misure finanziate a livello di PNRR ordinario.</w:t>
      </w:r>
      <w:r w:rsidRPr="007537D5">
        <w:rPr>
          <w:rFonts w:ascii="Times New Roman" w:hAnsi="Times New Roman" w:cs="Times New Roman"/>
          <w:sz w:val="24"/>
          <w:szCs w:val="24"/>
        </w:rPr>
        <w:t xml:space="preserve"> </w:t>
      </w:r>
    </w:p>
    <w:p w14:paraId="3C0D943F" w14:textId="77777777" w:rsidR="006B0FD0" w:rsidRDefault="009459D2" w:rsidP="004A19F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C82897">
        <w:rPr>
          <w:rFonts w:ascii="Times New Roman" w:hAnsi="Times New Roman" w:cs="Times New Roman"/>
          <w:sz w:val="24"/>
          <w:szCs w:val="24"/>
        </w:rPr>
        <w:t>Per quanto riguarda le azioni specifiche, la linea d’intervento per le aree del terremoto</w:t>
      </w:r>
      <w:r w:rsidR="00B50500" w:rsidRPr="00C82897">
        <w:rPr>
          <w:rFonts w:ascii="Times New Roman" w:hAnsi="Times New Roman" w:cs="Times New Roman"/>
          <w:sz w:val="24"/>
          <w:szCs w:val="24"/>
        </w:rPr>
        <w:t xml:space="preserve"> 2009 e 2016</w:t>
      </w:r>
      <w:r w:rsidRPr="00C82897">
        <w:rPr>
          <w:rFonts w:ascii="Times New Roman" w:hAnsi="Times New Roman" w:cs="Times New Roman"/>
          <w:sz w:val="24"/>
          <w:szCs w:val="24"/>
        </w:rPr>
        <w:t xml:space="preserve"> </w:t>
      </w:r>
      <w:r w:rsidR="00B50500" w:rsidRPr="00C82897">
        <w:rPr>
          <w:rFonts w:ascii="Times New Roman" w:hAnsi="Times New Roman" w:cs="Times New Roman"/>
          <w:sz w:val="24"/>
          <w:szCs w:val="24"/>
        </w:rPr>
        <w:t>a valere su</w:t>
      </w:r>
      <w:r w:rsidRPr="00C82897">
        <w:rPr>
          <w:rFonts w:ascii="Times New Roman" w:hAnsi="Times New Roman" w:cs="Times New Roman"/>
          <w:sz w:val="24"/>
          <w:szCs w:val="24"/>
        </w:rPr>
        <w:t xml:space="preserve">l Fondo complementare agisce in maniera integrata con i processi di ricostruzione in atto per supportare le nuove modalità di organizzazione delle reti, delle infrastrutture, della dotazione </w:t>
      </w:r>
      <w:r w:rsidRPr="00C82897">
        <w:rPr>
          <w:rFonts w:ascii="Times New Roman" w:hAnsi="Times New Roman" w:cs="Times New Roman"/>
          <w:sz w:val="24"/>
          <w:szCs w:val="24"/>
        </w:rPr>
        <w:lastRenderedPageBreak/>
        <w:t xml:space="preserve">tecnologica e degli spazi conseguenti alla ricostruzione. L’intera gestione della rigenerazione post-sisma di un’area significativamente messa in crisi dagli eventi disastrosi occorsi dovrà confrontarsi con nuovi disegni di suolo e di organizzazione urbana e territoriale e di promozione della transizione ecologica e digitale. L’obiettivo è far si che gli investimenti propri della ricostruzione possano incrociarsi ed implementarsi con le opportunità della transizione ecologica e digitale e i benefici di una maggiore inclusione sociale e migliore residenzialità in luoghi di particolare vulnerabilità. </w:t>
      </w:r>
    </w:p>
    <w:p w14:paraId="6F85396C" w14:textId="29B577AC" w:rsidR="00D6659C" w:rsidRDefault="00107790" w:rsidP="00107790">
      <w:pPr>
        <w:spacing w:after="120" w:line="240" w:lineRule="auto"/>
        <w:ind w:firstLine="708"/>
        <w:jc w:val="both"/>
        <w:rPr>
          <w:rFonts w:ascii="Times New Roman" w:hAnsi="Times New Roman" w:cs="Times New Roman"/>
          <w:sz w:val="24"/>
          <w:szCs w:val="24"/>
        </w:rPr>
      </w:pPr>
      <w:r w:rsidRPr="00107790">
        <w:rPr>
          <w:rFonts w:ascii="Times New Roman" w:hAnsi="Times New Roman" w:cs="Times New Roman"/>
          <w:sz w:val="24"/>
          <w:szCs w:val="24"/>
        </w:rPr>
        <w:t xml:space="preserve">Le risorse </w:t>
      </w:r>
      <w:r>
        <w:rPr>
          <w:rFonts w:ascii="Times New Roman" w:hAnsi="Times New Roman" w:cs="Times New Roman"/>
          <w:sz w:val="24"/>
          <w:szCs w:val="24"/>
        </w:rPr>
        <w:t xml:space="preserve">a valere sul PNRR Fondo complementare </w:t>
      </w:r>
      <w:r w:rsidRPr="00107790">
        <w:rPr>
          <w:rFonts w:ascii="Times New Roman" w:hAnsi="Times New Roman" w:cs="Times New Roman"/>
          <w:sz w:val="24"/>
          <w:szCs w:val="24"/>
        </w:rPr>
        <w:t>sono</w:t>
      </w:r>
      <w:r w:rsidR="00577AC3">
        <w:rPr>
          <w:rFonts w:ascii="Times New Roman" w:hAnsi="Times New Roman" w:cs="Times New Roman"/>
          <w:sz w:val="24"/>
          <w:szCs w:val="24"/>
        </w:rPr>
        <w:t>,</w:t>
      </w:r>
      <w:r w:rsidRPr="00107790">
        <w:rPr>
          <w:rFonts w:ascii="Times New Roman" w:hAnsi="Times New Roman" w:cs="Times New Roman"/>
          <w:sz w:val="24"/>
          <w:szCs w:val="24"/>
        </w:rPr>
        <w:t xml:space="preserve"> </w:t>
      </w:r>
      <w:r>
        <w:rPr>
          <w:rFonts w:ascii="Times New Roman" w:hAnsi="Times New Roman" w:cs="Times New Roman"/>
          <w:sz w:val="24"/>
          <w:szCs w:val="24"/>
        </w:rPr>
        <w:t>dunque</w:t>
      </w:r>
      <w:r w:rsidR="00577AC3">
        <w:rPr>
          <w:rFonts w:ascii="Times New Roman" w:hAnsi="Times New Roman" w:cs="Times New Roman"/>
          <w:sz w:val="24"/>
          <w:szCs w:val="24"/>
        </w:rPr>
        <w:t>,</w:t>
      </w:r>
      <w:r>
        <w:rPr>
          <w:rFonts w:ascii="Times New Roman" w:hAnsi="Times New Roman" w:cs="Times New Roman"/>
          <w:sz w:val="24"/>
          <w:szCs w:val="24"/>
        </w:rPr>
        <w:t xml:space="preserve"> </w:t>
      </w:r>
      <w:r w:rsidRPr="00107790">
        <w:rPr>
          <w:rFonts w:ascii="Times New Roman" w:hAnsi="Times New Roman" w:cs="Times New Roman"/>
          <w:sz w:val="24"/>
          <w:szCs w:val="24"/>
        </w:rPr>
        <w:t>destinate ad interventi integrativi</w:t>
      </w:r>
      <w:r w:rsidR="00577AC3">
        <w:rPr>
          <w:rFonts w:ascii="Times New Roman" w:hAnsi="Times New Roman" w:cs="Times New Roman"/>
          <w:sz w:val="24"/>
          <w:szCs w:val="24"/>
        </w:rPr>
        <w:t xml:space="preserve"> a quelli propri riguardanti i processi di ricostruzione e</w:t>
      </w:r>
      <w:r w:rsidRPr="00107790">
        <w:rPr>
          <w:rFonts w:ascii="Times New Roman" w:hAnsi="Times New Roman" w:cs="Times New Roman"/>
          <w:sz w:val="24"/>
          <w:szCs w:val="24"/>
        </w:rPr>
        <w:t xml:space="preserve"> </w:t>
      </w:r>
      <w:r>
        <w:rPr>
          <w:rFonts w:ascii="Times New Roman" w:hAnsi="Times New Roman" w:cs="Times New Roman"/>
          <w:sz w:val="24"/>
          <w:szCs w:val="24"/>
        </w:rPr>
        <w:t>che</w:t>
      </w:r>
      <w:r w:rsidR="00577AC3">
        <w:rPr>
          <w:rFonts w:ascii="Times New Roman" w:hAnsi="Times New Roman" w:cs="Times New Roman"/>
          <w:sz w:val="24"/>
          <w:szCs w:val="24"/>
        </w:rPr>
        <w:t xml:space="preserve">, </w:t>
      </w:r>
      <w:r w:rsidRPr="00107790">
        <w:rPr>
          <w:rFonts w:ascii="Times New Roman" w:hAnsi="Times New Roman" w:cs="Times New Roman"/>
          <w:sz w:val="24"/>
          <w:szCs w:val="24"/>
        </w:rPr>
        <w:t>comunque</w:t>
      </w:r>
      <w:r w:rsidR="00577AC3">
        <w:rPr>
          <w:rFonts w:ascii="Times New Roman" w:hAnsi="Times New Roman" w:cs="Times New Roman"/>
          <w:sz w:val="24"/>
          <w:szCs w:val="24"/>
        </w:rPr>
        <w:t>,</w:t>
      </w:r>
      <w:r w:rsidRPr="00107790">
        <w:rPr>
          <w:rFonts w:ascii="Times New Roman" w:hAnsi="Times New Roman" w:cs="Times New Roman"/>
          <w:sz w:val="24"/>
          <w:szCs w:val="24"/>
        </w:rPr>
        <w:t xml:space="preserve"> non possono essere finanziati con le risorse stanziate </w:t>
      </w:r>
      <w:r w:rsidR="00541F36">
        <w:rPr>
          <w:rFonts w:ascii="Times New Roman" w:hAnsi="Times New Roman" w:cs="Times New Roman"/>
          <w:sz w:val="24"/>
          <w:szCs w:val="24"/>
        </w:rPr>
        <w:t>a tali fini</w:t>
      </w:r>
      <w:r w:rsidRPr="00107790">
        <w:rPr>
          <w:rFonts w:ascii="Times New Roman" w:hAnsi="Times New Roman" w:cs="Times New Roman"/>
          <w:sz w:val="24"/>
          <w:szCs w:val="24"/>
        </w:rPr>
        <w:t>.</w:t>
      </w:r>
      <w:r w:rsidR="00CB1A82">
        <w:rPr>
          <w:rFonts w:ascii="Times New Roman" w:hAnsi="Times New Roman" w:cs="Times New Roman"/>
          <w:sz w:val="24"/>
          <w:szCs w:val="24"/>
        </w:rPr>
        <w:t xml:space="preserve"> </w:t>
      </w:r>
    </w:p>
    <w:p w14:paraId="31BCDC00" w14:textId="7E1267C3" w:rsidR="00D6659C" w:rsidRDefault="00D6659C" w:rsidP="0010779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 misure prevista dal Programma unitario agiscono tenendo conto della massima sinergia e coordinamento con gli strumenti di sostegno allo sviluppo economico e sociale previsti e finanziati attraverso la programmazione regionale dei fondi comunitari. </w:t>
      </w:r>
    </w:p>
    <w:p w14:paraId="6FFCFC84" w14:textId="1DD7108B" w:rsidR="00107790" w:rsidRPr="00C82897" w:rsidRDefault="00D6659C" w:rsidP="0010779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 intende, inoltre, sostenere </w:t>
      </w:r>
      <w:r w:rsidR="009E54C5">
        <w:rPr>
          <w:rFonts w:ascii="Times New Roman" w:hAnsi="Times New Roman" w:cs="Times New Roman"/>
          <w:sz w:val="24"/>
          <w:szCs w:val="24"/>
        </w:rPr>
        <w:t xml:space="preserve">e promuovere tutte </w:t>
      </w:r>
      <w:r>
        <w:rPr>
          <w:rFonts w:ascii="Times New Roman" w:hAnsi="Times New Roman" w:cs="Times New Roman"/>
          <w:sz w:val="24"/>
          <w:szCs w:val="24"/>
        </w:rPr>
        <w:t xml:space="preserve">le forme </w:t>
      </w:r>
      <w:r w:rsidR="009E54C5">
        <w:rPr>
          <w:rFonts w:ascii="Times New Roman" w:hAnsi="Times New Roman" w:cs="Times New Roman"/>
          <w:sz w:val="24"/>
          <w:szCs w:val="24"/>
        </w:rPr>
        <w:t xml:space="preserve">possibili </w:t>
      </w:r>
      <w:r>
        <w:rPr>
          <w:rFonts w:ascii="Times New Roman" w:hAnsi="Times New Roman" w:cs="Times New Roman"/>
          <w:sz w:val="24"/>
          <w:szCs w:val="24"/>
        </w:rPr>
        <w:t xml:space="preserve">di partenariato pubblico-privato </w:t>
      </w:r>
      <w:r w:rsidR="009E54C5">
        <w:rPr>
          <w:rFonts w:ascii="Times New Roman" w:hAnsi="Times New Roman" w:cs="Times New Roman"/>
          <w:sz w:val="24"/>
          <w:szCs w:val="24"/>
        </w:rPr>
        <w:t>con le</w:t>
      </w:r>
      <w:r>
        <w:rPr>
          <w:rFonts w:ascii="Times New Roman" w:hAnsi="Times New Roman" w:cs="Times New Roman"/>
          <w:sz w:val="24"/>
          <w:szCs w:val="24"/>
        </w:rPr>
        <w:t xml:space="preserve"> modalità previste dall’Ordinamento. </w:t>
      </w:r>
    </w:p>
    <w:p w14:paraId="577046AB" w14:textId="77777777" w:rsidR="009F32DC" w:rsidRPr="009F32DC" w:rsidRDefault="009F32DC" w:rsidP="009F32DC">
      <w:pPr>
        <w:spacing w:after="120" w:line="240" w:lineRule="auto"/>
        <w:ind w:firstLine="708"/>
        <w:jc w:val="both"/>
        <w:rPr>
          <w:rFonts w:ascii="Times New Roman" w:hAnsi="Times New Roman" w:cs="Times New Roman"/>
          <w:strike/>
          <w:sz w:val="24"/>
          <w:szCs w:val="24"/>
          <w:highlight w:val="yellow"/>
        </w:rPr>
      </w:pPr>
    </w:p>
    <w:p w14:paraId="0953EB8F" w14:textId="77777777" w:rsidR="00205A26" w:rsidRPr="00A136D6" w:rsidRDefault="009459D2" w:rsidP="00A136D6">
      <w:pPr>
        <w:pStyle w:val="CorpoA"/>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cs="Times New Roman"/>
          <w:b/>
          <w:bCs/>
          <w:i/>
          <w:color w:val="4472C4" w:themeColor="accent1"/>
          <w:lang w:val="it-IT"/>
        </w:rPr>
      </w:pPr>
      <w:r w:rsidRPr="00352107">
        <w:rPr>
          <w:rFonts w:cs="Times New Roman"/>
          <w:b/>
          <w:bCs/>
          <w:i/>
          <w:color w:val="4472C4" w:themeColor="accent1"/>
          <w:lang w:val="it-IT"/>
        </w:rPr>
        <w:t xml:space="preserve">Le misure del Fondo Complementare </w:t>
      </w:r>
      <w:r w:rsidR="00205A26">
        <w:rPr>
          <w:rFonts w:cs="Times New Roman"/>
          <w:b/>
          <w:bCs/>
          <w:i/>
          <w:color w:val="4472C4" w:themeColor="accent1"/>
          <w:lang w:val="it-IT"/>
        </w:rPr>
        <w:t>a</w:t>
      </w:r>
      <w:r w:rsidRPr="00352107">
        <w:rPr>
          <w:rFonts w:cs="Times New Roman"/>
          <w:b/>
          <w:bCs/>
          <w:i/>
          <w:color w:val="4472C4" w:themeColor="accent1"/>
          <w:lang w:val="it-IT"/>
        </w:rPr>
        <w:t>ree terremoti 2009 e 2016</w:t>
      </w:r>
    </w:p>
    <w:p w14:paraId="738093D4" w14:textId="77777777" w:rsidR="005F0DBC" w:rsidRPr="0010115D" w:rsidRDefault="009459D2" w:rsidP="009F32DC">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120"/>
        <w:ind w:left="1080"/>
        <w:jc w:val="both"/>
        <w:rPr>
          <w:rFonts w:cs="Times New Roman"/>
          <w:i/>
          <w:lang w:val="it-IT"/>
        </w:rPr>
      </w:pPr>
      <w:r w:rsidRPr="0010115D">
        <w:rPr>
          <w:rFonts w:cs="Times New Roman"/>
          <w:i/>
          <w:lang w:val="it-IT"/>
        </w:rPr>
        <w:tab/>
      </w:r>
    </w:p>
    <w:p w14:paraId="26B425C7" w14:textId="77777777" w:rsidR="00644FE0" w:rsidRPr="007537D5" w:rsidRDefault="00734129" w:rsidP="009F32DC">
      <w:pPr>
        <w:spacing w:after="120" w:line="240" w:lineRule="auto"/>
        <w:ind w:firstLine="567"/>
        <w:jc w:val="both"/>
        <w:rPr>
          <w:rFonts w:ascii="Times New Roman" w:hAnsi="Times New Roman" w:cs="Times New Roman"/>
          <w:sz w:val="24"/>
          <w:szCs w:val="24"/>
        </w:rPr>
      </w:pPr>
      <w:r w:rsidRPr="007537D5">
        <w:rPr>
          <w:rFonts w:ascii="Times New Roman" w:hAnsi="Times New Roman" w:cs="Times New Roman"/>
          <w:sz w:val="24"/>
          <w:szCs w:val="24"/>
        </w:rPr>
        <w:t>Gli interventi del P</w:t>
      </w:r>
      <w:r w:rsidR="00205A26">
        <w:rPr>
          <w:rFonts w:ascii="Times New Roman" w:hAnsi="Times New Roman" w:cs="Times New Roman"/>
          <w:sz w:val="24"/>
          <w:szCs w:val="24"/>
        </w:rPr>
        <w:t>NRR</w:t>
      </w:r>
      <w:r w:rsidRPr="007537D5">
        <w:rPr>
          <w:rFonts w:ascii="Times New Roman" w:hAnsi="Times New Roman" w:cs="Times New Roman"/>
          <w:sz w:val="24"/>
          <w:szCs w:val="24"/>
        </w:rPr>
        <w:t xml:space="preserve"> Fondo complementare </w:t>
      </w:r>
      <w:r w:rsidR="00B13DD0">
        <w:rPr>
          <w:rFonts w:ascii="Times New Roman" w:hAnsi="Times New Roman" w:cs="Times New Roman"/>
          <w:sz w:val="24"/>
          <w:szCs w:val="24"/>
        </w:rPr>
        <w:t>“</w:t>
      </w:r>
      <w:r w:rsidR="00B13DD0" w:rsidRPr="00B13DD0">
        <w:rPr>
          <w:rFonts w:ascii="Times New Roman" w:hAnsi="Times New Roman" w:cs="Times New Roman"/>
          <w:sz w:val="24"/>
          <w:szCs w:val="24"/>
        </w:rPr>
        <w:t>Interventi per le aree del terremoto del 2009 e 2016</w:t>
      </w:r>
      <w:r w:rsidR="00B13DD0">
        <w:rPr>
          <w:rFonts w:ascii="Times New Roman" w:hAnsi="Times New Roman" w:cs="Times New Roman"/>
          <w:sz w:val="24"/>
          <w:szCs w:val="24"/>
        </w:rPr>
        <w:t>”</w:t>
      </w:r>
      <w:r w:rsidR="00B13DD0" w:rsidRPr="00B13DD0">
        <w:rPr>
          <w:rFonts w:ascii="Times New Roman" w:hAnsi="Times New Roman" w:cs="Times New Roman"/>
          <w:sz w:val="24"/>
          <w:szCs w:val="24"/>
        </w:rPr>
        <w:t xml:space="preserve"> </w:t>
      </w:r>
      <w:r w:rsidR="008A4A0A" w:rsidRPr="007537D5">
        <w:rPr>
          <w:rFonts w:ascii="Times New Roman" w:hAnsi="Times New Roman" w:cs="Times New Roman"/>
          <w:sz w:val="24"/>
          <w:szCs w:val="24"/>
        </w:rPr>
        <w:t xml:space="preserve">si riconducono a due </w:t>
      </w:r>
      <w:proofErr w:type="spellStart"/>
      <w:r w:rsidR="00D846D7">
        <w:rPr>
          <w:rFonts w:ascii="Times New Roman" w:hAnsi="Times New Roman" w:cs="Times New Roman"/>
          <w:sz w:val="24"/>
          <w:szCs w:val="24"/>
        </w:rPr>
        <w:t>M</w:t>
      </w:r>
      <w:r w:rsidR="008A4A0A" w:rsidRPr="007537D5">
        <w:rPr>
          <w:rFonts w:ascii="Times New Roman" w:hAnsi="Times New Roman" w:cs="Times New Roman"/>
          <w:sz w:val="24"/>
          <w:szCs w:val="24"/>
        </w:rPr>
        <w:t>acromisure</w:t>
      </w:r>
      <w:proofErr w:type="spellEnd"/>
      <w:r w:rsidR="008A4A0A" w:rsidRPr="007537D5">
        <w:rPr>
          <w:rFonts w:ascii="Times New Roman" w:hAnsi="Times New Roman" w:cs="Times New Roman"/>
          <w:sz w:val="24"/>
          <w:szCs w:val="24"/>
        </w:rPr>
        <w:t xml:space="preserve">: </w:t>
      </w:r>
    </w:p>
    <w:p w14:paraId="6819FD36" w14:textId="77777777" w:rsidR="00644FE0" w:rsidRPr="007537D5" w:rsidRDefault="00644FE0" w:rsidP="00C2166B">
      <w:pPr>
        <w:ind w:left="567" w:hanging="567"/>
        <w:jc w:val="both"/>
        <w:rPr>
          <w:rFonts w:ascii="Times New Roman" w:hAnsi="Times New Roman" w:cs="Times New Roman"/>
          <w:sz w:val="24"/>
          <w:szCs w:val="24"/>
        </w:rPr>
      </w:pPr>
      <w:r w:rsidRPr="00205A26">
        <w:rPr>
          <w:rFonts w:ascii="Times New Roman" w:hAnsi="Times New Roman" w:cs="Times New Roman"/>
          <w:sz w:val="24"/>
          <w:szCs w:val="24"/>
          <w:u w:val="single"/>
        </w:rPr>
        <w:t>A.</w:t>
      </w:r>
      <w:r w:rsidRPr="00205A26">
        <w:rPr>
          <w:rFonts w:ascii="Times New Roman" w:hAnsi="Times New Roman" w:cs="Times New Roman"/>
          <w:sz w:val="24"/>
          <w:szCs w:val="24"/>
          <w:u w:val="single"/>
        </w:rPr>
        <w:tab/>
        <w:t>CITTÀ E PAESI SICURI, SOSTENIBILI E CONNESSI</w:t>
      </w:r>
      <w:r w:rsidR="00C2166B">
        <w:rPr>
          <w:rFonts w:ascii="Times New Roman" w:hAnsi="Times New Roman" w:cs="Times New Roman"/>
          <w:sz w:val="24"/>
          <w:szCs w:val="24"/>
        </w:rPr>
        <w:t>, con</w:t>
      </w:r>
      <w:r w:rsidRPr="007537D5">
        <w:rPr>
          <w:rFonts w:ascii="Times New Roman" w:hAnsi="Times New Roman" w:cs="Times New Roman"/>
          <w:sz w:val="24"/>
          <w:szCs w:val="24"/>
        </w:rPr>
        <w:t xml:space="preserve"> dotazione di </w:t>
      </w:r>
      <w:r w:rsidR="00205A26" w:rsidRPr="00205A26">
        <w:rPr>
          <w:rFonts w:ascii="Times New Roman" w:hAnsi="Times New Roman" w:cs="Times New Roman"/>
          <w:b/>
          <w:sz w:val="24"/>
          <w:szCs w:val="24"/>
        </w:rPr>
        <w:t>1 miliardo e 80 milioni</w:t>
      </w:r>
      <w:r w:rsidRPr="00205A26">
        <w:rPr>
          <w:rFonts w:ascii="Times New Roman" w:hAnsi="Times New Roman" w:cs="Times New Roman"/>
          <w:b/>
          <w:sz w:val="24"/>
          <w:szCs w:val="24"/>
        </w:rPr>
        <w:t xml:space="preserve"> </w:t>
      </w:r>
      <w:r w:rsidR="00C2166B" w:rsidRPr="00205A26">
        <w:rPr>
          <w:rFonts w:ascii="Times New Roman" w:hAnsi="Times New Roman" w:cs="Times New Roman"/>
          <w:b/>
          <w:sz w:val="24"/>
          <w:szCs w:val="24"/>
        </w:rPr>
        <w:t>di euro</w:t>
      </w:r>
      <w:r w:rsidR="00ED3317">
        <w:rPr>
          <w:rFonts w:ascii="Times New Roman" w:hAnsi="Times New Roman" w:cs="Times New Roman"/>
          <w:sz w:val="24"/>
          <w:szCs w:val="24"/>
        </w:rPr>
        <w:t>,</w:t>
      </w:r>
      <w:r w:rsidR="00C2166B">
        <w:rPr>
          <w:rFonts w:ascii="Times New Roman" w:hAnsi="Times New Roman" w:cs="Times New Roman"/>
          <w:sz w:val="24"/>
          <w:szCs w:val="24"/>
        </w:rPr>
        <w:t xml:space="preserve"> </w:t>
      </w:r>
      <w:r w:rsidRPr="007537D5">
        <w:rPr>
          <w:rFonts w:ascii="Times New Roman" w:hAnsi="Times New Roman" w:cs="Times New Roman"/>
          <w:sz w:val="24"/>
          <w:szCs w:val="24"/>
        </w:rPr>
        <w:t>destinata alle diverse opere pubbliche complementari alla ricostruzione, alla digitalizzazione, all’efficientamento energetico, alla mobilità ed alla rigenerazione urbana;</w:t>
      </w:r>
    </w:p>
    <w:p w14:paraId="4813EA1E" w14:textId="77777777" w:rsidR="00C22E72" w:rsidRPr="00C22E72" w:rsidRDefault="00644FE0" w:rsidP="00C2166B">
      <w:pPr>
        <w:ind w:left="567" w:hanging="567"/>
        <w:jc w:val="both"/>
        <w:rPr>
          <w:rFonts w:ascii="Times New Roman" w:hAnsi="Times New Roman" w:cs="Times New Roman"/>
          <w:sz w:val="24"/>
          <w:szCs w:val="24"/>
        </w:rPr>
      </w:pPr>
      <w:r w:rsidRPr="00205A26">
        <w:rPr>
          <w:rFonts w:ascii="Times New Roman" w:hAnsi="Times New Roman" w:cs="Times New Roman"/>
          <w:sz w:val="24"/>
          <w:szCs w:val="24"/>
          <w:u w:val="single"/>
        </w:rPr>
        <w:t>B.</w:t>
      </w:r>
      <w:r w:rsidRPr="00205A26">
        <w:rPr>
          <w:rFonts w:ascii="Times New Roman" w:hAnsi="Times New Roman" w:cs="Times New Roman"/>
          <w:sz w:val="24"/>
          <w:szCs w:val="24"/>
          <w:u w:val="single"/>
        </w:rPr>
        <w:tab/>
        <w:t>RILANCIO ECONOMICO E SOCIALE</w:t>
      </w:r>
      <w:r w:rsidR="00C2166B">
        <w:rPr>
          <w:rFonts w:ascii="Times New Roman" w:hAnsi="Times New Roman" w:cs="Times New Roman"/>
          <w:sz w:val="24"/>
          <w:szCs w:val="24"/>
        </w:rPr>
        <w:t>, con</w:t>
      </w:r>
      <w:r w:rsidRPr="007537D5">
        <w:rPr>
          <w:rFonts w:ascii="Times New Roman" w:hAnsi="Times New Roman" w:cs="Times New Roman"/>
          <w:sz w:val="24"/>
          <w:szCs w:val="24"/>
        </w:rPr>
        <w:t xml:space="preserve"> dotazione di </w:t>
      </w:r>
      <w:r w:rsidR="00205A26" w:rsidRPr="00205A26">
        <w:rPr>
          <w:rFonts w:ascii="Times New Roman" w:hAnsi="Times New Roman" w:cs="Times New Roman"/>
          <w:b/>
          <w:sz w:val="24"/>
          <w:szCs w:val="24"/>
        </w:rPr>
        <w:t>700</w:t>
      </w:r>
      <w:r w:rsidRPr="00205A26">
        <w:rPr>
          <w:rFonts w:ascii="Times New Roman" w:hAnsi="Times New Roman" w:cs="Times New Roman"/>
          <w:b/>
          <w:sz w:val="24"/>
          <w:szCs w:val="24"/>
        </w:rPr>
        <w:t xml:space="preserve"> milioni </w:t>
      </w:r>
      <w:r w:rsidR="00C2166B" w:rsidRPr="00205A26">
        <w:rPr>
          <w:rFonts w:ascii="Times New Roman" w:hAnsi="Times New Roman" w:cs="Times New Roman"/>
          <w:b/>
          <w:sz w:val="24"/>
          <w:szCs w:val="24"/>
        </w:rPr>
        <w:t>di euro</w:t>
      </w:r>
      <w:r w:rsidR="00ED3317">
        <w:rPr>
          <w:rFonts w:ascii="Times New Roman" w:hAnsi="Times New Roman" w:cs="Times New Roman"/>
          <w:sz w:val="24"/>
          <w:szCs w:val="24"/>
        </w:rPr>
        <w:t>,</w:t>
      </w:r>
      <w:r w:rsidR="00C2166B">
        <w:rPr>
          <w:rFonts w:ascii="Times New Roman" w:hAnsi="Times New Roman" w:cs="Times New Roman"/>
          <w:sz w:val="24"/>
          <w:szCs w:val="24"/>
        </w:rPr>
        <w:t xml:space="preserve"> </w:t>
      </w:r>
      <w:r w:rsidRPr="007537D5">
        <w:rPr>
          <w:rFonts w:ascii="Times New Roman" w:hAnsi="Times New Roman" w:cs="Times New Roman"/>
          <w:sz w:val="24"/>
          <w:szCs w:val="24"/>
        </w:rPr>
        <w:t xml:space="preserve">destinata al sistema delle imprese e </w:t>
      </w:r>
      <w:r w:rsidR="00205A26">
        <w:rPr>
          <w:rFonts w:ascii="Times New Roman" w:hAnsi="Times New Roman" w:cs="Times New Roman"/>
          <w:sz w:val="24"/>
          <w:szCs w:val="24"/>
        </w:rPr>
        <w:t>a</w:t>
      </w:r>
      <w:r w:rsidRPr="007537D5">
        <w:rPr>
          <w:rFonts w:ascii="Times New Roman" w:hAnsi="Times New Roman" w:cs="Times New Roman"/>
          <w:sz w:val="24"/>
          <w:szCs w:val="24"/>
        </w:rPr>
        <w:t>gli investimenti economici e sociali</w:t>
      </w:r>
      <w:r w:rsidR="00C2166B">
        <w:rPr>
          <w:rFonts w:ascii="Times New Roman" w:hAnsi="Times New Roman" w:cs="Times New Roman"/>
          <w:sz w:val="24"/>
          <w:szCs w:val="24"/>
        </w:rPr>
        <w:t>.</w:t>
      </w:r>
    </w:p>
    <w:p w14:paraId="3F095126" w14:textId="77777777" w:rsidR="008A4A0A" w:rsidRDefault="00190C7F" w:rsidP="00C2166B">
      <w:pPr>
        <w:spacing w:after="120" w:line="240" w:lineRule="auto"/>
        <w:ind w:firstLine="567"/>
        <w:jc w:val="both"/>
        <w:rPr>
          <w:rFonts w:ascii="Times New Roman" w:hAnsi="Times New Roman" w:cs="Times New Roman"/>
          <w:sz w:val="24"/>
          <w:szCs w:val="24"/>
        </w:rPr>
      </w:pPr>
      <w:r w:rsidRPr="00190C7F">
        <w:rPr>
          <w:rFonts w:ascii="Times New Roman" w:hAnsi="Times New Roman" w:cs="Times New Roman"/>
          <w:sz w:val="24"/>
          <w:szCs w:val="24"/>
        </w:rPr>
        <w:t xml:space="preserve">Gli interventi della </w:t>
      </w:r>
      <w:proofErr w:type="spellStart"/>
      <w:r w:rsidRPr="00190C7F">
        <w:rPr>
          <w:rFonts w:ascii="Times New Roman" w:hAnsi="Times New Roman" w:cs="Times New Roman"/>
          <w:sz w:val="24"/>
          <w:szCs w:val="24"/>
        </w:rPr>
        <w:t>Macromisura</w:t>
      </w:r>
      <w:proofErr w:type="spellEnd"/>
      <w:r w:rsidRPr="00190C7F">
        <w:rPr>
          <w:rFonts w:ascii="Times New Roman" w:hAnsi="Times New Roman" w:cs="Times New Roman"/>
          <w:sz w:val="24"/>
          <w:szCs w:val="24"/>
        </w:rPr>
        <w:t xml:space="preserve"> A</w:t>
      </w:r>
      <w:r w:rsidR="00205A26">
        <w:rPr>
          <w:rFonts w:ascii="Times New Roman" w:hAnsi="Times New Roman" w:cs="Times New Roman"/>
          <w:sz w:val="24"/>
          <w:szCs w:val="24"/>
        </w:rPr>
        <w:t>,</w:t>
      </w:r>
      <w:r w:rsidRPr="00190C7F">
        <w:rPr>
          <w:rFonts w:ascii="Times New Roman" w:hAnsi="Times New Roman" w:cs="Times New Roman"/>
          <w:sz w:val="24"/>
          <w:szCs w:val="24"/>
        </w:rPr>
        <w:t xml:space="preserve"> “Città e paesi sicuri, sostenibili e connessi”</w:t>
      </w:r>
      <w:r w:rsidR="00205A26">
        <w:rPr>
          <w:rFonts w:ascii="Times New Roman" w:hAnsi="Times New Roman" w:cs="Times New Roman"/>
          <w:sz w:val="24"/>
          <w:szCs w:val="24"/>
        </w:rPr>
        <w:t>,</w:t>
      </w:r>
      <w:r w:rsidRPr="00190C7F">
        <w:rPr>
          <w:rFonts w:ascii="Times New Roman" w:hAnsi="Times New Roman" w:cs="Times New Roman"/>
          <w:sz w:val="24"/>
          <w:szCs w:val="24"/>
        </w:rPr>
        <w:t xml:space="preserve"> intendono accrescere l’attrattività delle aree fragili dell’Appennino centrale attraverso l’innalzamento della sicurezza degli edifici, delle comunità e del territorio, e il miglioramento della qualità della vita degli abitanti, così da determinare le condizioni infrastrutturali e di sistema idonee allo sviluppo. Le misure contemplano</w:t>
      </w:r>
      <w:r w:rsidR="00205A26">
        <w:rPr>
          <w:rFonts w:ascii="Times New Roman" w:hAnsi="Times New Roman" w:cs="Times New Roman"/>
          <w:sz w:val="24"/>
          <w:szCs w:val="24"/>
        </w:rPr>
        <w:t>, altresì,</w:t>
      </w:r>
      <w:r w:rsidRPr="00190C7F">
        <w:rPr>
          <w:rFonts w:ascii="Times New Roman" w:hAnsi="Times New Roman" w:cs="Times New Roman"/>
          <w:sz w:val="24"/>
          <w:szCs w:val="24"/>
        </w:rPr>
        <w:t xml:space="preserve"> opere complementari ma strutturali per la transizione verso sistemi sostenibili in aderenza agli obiettivi del New Green Deal in merito alla transizione green e a quella digitale.</w:t>
      </w:r>
    </w:p>
    <w:p w14:paraId="637AE6E2" w14:textId="77777777" w:rsidR="002A6143" w:rsidRDefault="005F0DBC" w:rsidP="002A6143">
      <w:pPr>
        <w:spacing w:after="120" w:line="240" w:lineRule="auto"/>
        <w:ind w:firstLine="567"/>
        <w:jc w:val="both"/>
        <w:rPr>
          <w:rFonts w:ascii="Times New Roman" w:hAnsi="Times New Roman" w:cs="Times New Roman"/>
          <w:sz w:val="24"/>
          <w:szCs w:val="24"/>
        </w:rPr>
      </w:pPr>
      <w:r w:rsidRPr="005F0DBC">
        <w:rPr>
          <w:rFonts w:ascii="Times New Roman" w:hAnsi="Times New Roman" w:cs="Times New Roman"/>
          <w:sz w:val="24"/>
          <w:szCs w:val="24"/>
        </w:rPr>
        <w:t xml:space="preserve">La finalità generale degli interventi proposti </w:t>
      </w:r>
      <w:r>
        <w:rPr>
          <w:rFonts w:ascii="Times New Roman" w:hAnsi="Times New Roman" w:cs="Times New Roman"/>
          <w:sz w:val="24"/>
          <w:szCs w:val="24"/>
        </w:rPr>
        <w:t xml:space="preserve">nella </w:t>
      </w:r>
      <w:proofErr w:type="spellStart"/>
      <w:r>
        <w:rPr>
          <w:rFonts w:ascii="Times New Roman" w:hAnsi="Times New Roman" w:cs="Times New Roman"/>
          <w:sz w:val="24"/>
          <w:szCs w:val="24"/>
        </w:rPr>
        <w:t>Macromisura</w:t>
      </w:r>
      <w:proofErr w:type="spellEnd"/>
      <w:r>
        <w:rPr>
          <w:rFonts w:ascii="Times New Roman" w:hAnsi="Times New Roman" w:cs="Times New Roman"/>
          <w:sz w:val="24"/>
          <w:szCs w:val="24"/>
        </w:rPr>
        <w:t xml:space="preserve"> B</w:t>
      </w:r>
      <w:r w:rsidR="00205A26">
        <w:rPr>
          <w:rFonts w:ascii="Times New Roman" w:hAnsi="Times New Roman" w:cs="Times New Roman"/>
          <w:sz w:val="24"/>
          <w:szCs w:val="24"/>
        </w:rPr>
        <w:t>,</w:t>
      </w:r>
      <w:r>
        <w:rPr>
          <w:rFonts w:ascii="Times New Roman" w:hAnsi="Times New Roman" w:cs="Times New Roman"/>
          <w:sz w:val="24"/>
          <w:szCs w:val="24"/>
        </w:rPr>
        <w:t xml:space="preserve"> “Rilancio economico e sociale”, </w:t>
      </w:r>
      <w:r w:rsidRPr="005F0DBC">
        <w:rPr>
          <w:rFonts w:ascii="Times New Roman" w:hAnsi="Times New Roman" w:cs="Times New Roman"/>
          <w:sz w:val="24"/>
          <w:szCs w:val="24"/>
        </w:rPr>
        <w:t xml:space="preserve">riguarda l'impatto sulla capacità competitiva dei territori, che si sostiene attraverso l'imprenditorialità dei residenti, il rafforzamento del tessuto sociale ed economico e lo stimolo all'innovazione produttiva. L’obiettivo del programma di intervento è quello di ricreare un ambiente idoneo allo sviluppo sociale ed alla crescita economica, facendo leva sul rapporto tra le comunità locali ed il contesto di riferimento. Il sistema di sostegno all'economia definito dalla </w:t>
      </w:r>
      <w:proofErr w:type="spellStart"/>
      <w:r w:rsidRPr="005F0DBC">
        <w:rPr>
          <w:rFonts w:ascii="Times New Roman" w:hAnsi="Times New Roman" w:cs="Times New Roman"/>
          <w:sz w:val="24"/>
          <w:szCs w:val="24"/>
        </w:rPr>
        <w:t>Macromisura</w:t>
      </w:r>
      <w:proofErr w:type="spellEnd"/>
      <w:r w:rsidRPr="005F0DBC">
        <w:rPr>
          <w:rFonts w:ascii="Times New Roman" w:hAnsi="Times New Roman" w:cs="Times New Roman"/>
          <w:sz w:val="24"/>
          <w:szCs w:val="24"/>
        </w:rPr>
        <w:t xml:space="preserve"> B intende</w:t>
      </w:r>
      <w:r w:rsidR="00205A26">
        <w:rPr>
          <w:rFonts w:ascii="Times New Roman" w:hAnsi="Times New Roman" w:cs="Times New Roman"/>
          <w:sz w:val="24"/>
          <w:szCs w:val="24"/>
        </w:rPr>
        <w:t>,</w:t>
      </w:r>
      <w:r w:rsidRPr="005F0DBC">
        <w:rPr>
          <w:rFonts w:ascii="Times New Roman" w:hAnsi="Times New Roman" w:cs="Times New Roman"/>
          <w:sz w:val="24"/>
          <w:szCs w:val="24"/>
        </w:rPr>
        <w:t xml:space="preserve"> </w:t>
      </w:r>
      <w:r>
        <w:rPr>
          <w:rFonts w:ascii="Times New Roman" w:hAnsi="Times New Roman" w:cs="Times New Roman"/>
          <w:sz w:val="24"/>
          <w:szCs w:val="24"/>
        </w:rPr>
        <w:t>pertanto</w:t>
      </w:r>
      <w:r w:rsidR="00205A26">
        <w:rPr>
          <w:rFonts w:ascii="Times New Roman" w:hAnsi="Times New Roman" w:cs="Times New Roman"/>
          <w:sz w:val="24"/>
          <w:szCs w:val="24"/>
        </w:rPr>
        <w:t>,</w:t>
      </w:r>
      <w:r>
        <w:rPr>
          <w:rFonts w:ascii="Times New Roman" w:hAnsi="Times New Roman" w:cs="Times New Roman"/>
          <w:sz w:val="24"/>
          <w:szCs w:val="24"/>
        </w:rPr>
        <w:t xml:space="preserve"> </w:t>
      </w:r>
      <w:r w:rsidRPr="005F0DBC">
        <w:rPr>
          <w:rFonts w:ascii="Times New Roman" w:hAnsi="Times New Roman" w:cs="Times New Roman"/>
          <w:sz w:val="24"/>
          <w:szCs w:val="24"/>
        </w:rPr>
        <w:t>stimolare un ambiente favorevole alla crescita, anche dimensionale, delle imprese ed alla creazione di nuovi posti di lavoro.  L</w:t>
      </w:r>
      <w:r w:rsidR="00205A26">
        <w:rPr>
          <w:rFonts w:ascii="Times New Roman" w:hAnsi="Times New Roman" w:cs="Times New Roman"/>
          <w:sz w:val="24"/>
          <w:szCs w:val="24"/>
        </w:rPr>
        <w:t>’</w:t>
      </w:r>
      <w:r w:rsidRPr="005F0DBC">
        <w:rPr>
          <w:rFonts w:ascii="Times New Roman" w:hAnsi="Times New Roman" w:cs="Times New Roman"/>
          <w:sz w:val="24"/>
          <w:szCs w:val="24"/>
        </w:rPr>
        <w:t>auspicata ripresa di questi territori si rende possibile nella combinazione tra i diversi interventi, che vanno visti in modo del tutto complementare, in quanto il fattore di spinta e di rigenerazione si realizza solo attraverso la connessione tra gli investimenti e le ricadute sul tessuto sociale e produttivo.</w:t>
      </w:r>
    </w:p>
    <w:p w14:paraId="7CF86243" w14:textId="36A3CF5F" w:rsidR="00842D9B" w:rsidRPr="002A6143" w:rsidRDefault="00996D73" w:rsidP="002A6143">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Nell’ambito del programma unitario, gli interventi sono articolati sui territori di entrambi i crateri 2009 e 2016, ad eccezione delle linee di intervento specifiche che, pur avendo un impatto sul tutto </w:t>
      </w:r>
      <w:r w:rsidR="00C82897">
        <w:rPr>
          <w:rFonts w:ascii="Times New Roman" w:hAnsi="Times New Roman" w:cs="Times New Roman"/>
          <w:sz w:val="24"/>
          <w:szCs w:val="24"/>
        </w:rPr>
        <w:t xml:space="preserve">il </w:t>
      </w:r>
      <w:r>
        <w:rPr>
          <w:rFonts w:ascii="Times New Roman" w:hAnsi="Times New Roman" w:cs="Times New Roman"/>
          <w:sz w:val="24"/>
          <w:szCs w:val="24"/>
        </w:rPr>
        <w:t xml:space="preserve">territorio dei </w:t>
      </w:r>
      <w:r w:rsidR="00C82897">
        <w:rPr>
          <w:rFonts w:ascii="Times New Roman" w:hAnsi="Times New Roman" w:cs="Times New Roman"/>
          <w:sz w:val="24"/>
          <w:szCs w:val="24"/>
        </w:rPr>
        <w:t xml:space="preserve">due </w:t>
      </w:r>
      <w:r>
        <w:rPr>
          <w:rFonts w:ascii="Times New Roman" w:hAnsi="Times New Roman" w:cs="Times New Roman"/>
          <w:sz w:val="24"/>
          <w:szCs w:val="24"/>
        </w:rPr>
        <w:t>crateri, per la loro finalità</w:t>
      </w:r>
      <w:r w:rsidR="00C82897">
        <w:rPr>
          <w:rFonts w:ascii="Times New Roman" w:hAnsi="Times New Roman" w:cs="Times New Roman"/>
          <w:sz w:val="24"/>
          <w:szCs w:val="24"/>
        </w:rPr>
        <w:t>,</w:t>
      </w:r>
      <w:r>
        <w:rPr>
          <w:rFonts w:ascii="Times New Roman" w:hAnsi="Times New Roman" w:cs="Times New Roman"/>
          <w:sz w:val="24"/>
          <w:szCs w:val="24"/>
        </w:rPr>
        <w:t xml:space="preserve"> hanno una specifica localizzazione</w:t>
      </w:r>
      <w:r w:rsidR="00C82897">
        <w:rPr>
          <w:rFonts w:ascii="Times New Roman" w:hAnsi="Times New Roman" w:cs="Times New Roman"/>
          <w:sz w:val="24"/>
          <w:szCs w:val="24"/>
        </w:rPr>
        <w:t xml:space="preserve">, quali </w:t>
      </w:r>
      <w:r>
        <w:rPr>
          <w:rFonts w:ascii="Times New Roman" w:hAnsi="Times New Roman" w:cs="Times New Roman"/>
          <w:sz w:val="24"/>
          <w:szCs w:val="24"/>
        </w:rPr>
        <w:t xml:space="preserve">rifunzionalizzazione degli edifici temporanei del progetto case a L’Aquila, rifunzionalizzazione delle soluzioni abitative di emergenza – SAE del cratere 2016, </w:t>
      </w:r>
      <w:r w:rsidR="00C018B1">
        <w:rPr>
          <w:rFonts w:ascii="Times New Roman" w:hAnsi="Times New Roman" w:cs="Times New Roman"/>
          <w:sz w:val="24"/>
          <w:szCs w:val="24"/>
        </w:rPr>
        <w:t xml:space="preserve">depositi di sicurezza per i beni culturali a </w:t>
      </w:r>
      <w:r w:rsidR="00C018B1">
        <w:rPr>
          <w:rFonts w:ascii="Times New Roman" w:hAnsi="Times New Roman" w:cs="Times New Roman"/>
          <w:sz w:val="24"/>
          <w:szCs w:val="24"/>
        </w:rPr>
        <w:lastRenderedPageBreak/>
        <w:t xml:space="preserve">Rieti, Camerino e Spoleto, Museo </w:t>
      </w:r>
      <w:r w:rsidR="00744DF6">
        <w:rPr>
          <w:rFonts w:ascii="Times New Roman" w:hAnsi="Times New Roman" w:cs="Times New Roman"/>
          <w:sz w:val="24"/>
          <w:szCs w:val="24"/>
        </w:rPr>
        <w:t>N</w:t>
      </w:r>
      <w:r w:rsidR="00C018B1">
        <w:rPr>
          <w:rFonts w:ascii="Times New Roman" w:hAnsi="Times New Roman" w:cs="Times New Roman"/>
          <w:sz w:val="24"/>
          <w:szCs w:val="24"/>
        </w:rPr>
        <w:t>azionale d’Abruzzo de L’Aquila e centro di formazione tecnica per la pubblica amministrazione de L’Aquila.</w:t>
      </w:r>
    </w:p>
    <w:p w14:paraId="782DBEC4" w14:textId="77777777" w:rsidR="00AD26DC" w:rsidRPr="002A6488" w:rsidRDefault="00AD26DC" w:rsidP="00B32643">
      <w:pPr>
        <w:jc w:val="both"/>
        <w:rPr>
          <w:rFonts w:ascii="Times New Roman" w:hAnsi="Times New Roman" w:cs="Times New Roman"/>
          <w:sz w:val="24"/>
          <w:szCs w:val="24"/>
        </w:rPr>
      </w:pPr>
    </w:p>
    <w:p w14:paraId="0DFC4DF5" w14:textId="77777777" w:rsidR="0037458C" w:rsidRDefault="0037458C" w:rsidP="0037458C">
      <w:pPr>
        <w:pStyle w:val="CorpoA"/>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077" w:hanging="357"/>
        <w:jc w:val="both"/>
        <w:rPr>
          <w:rFonts w:cs="Times New Roman"/>
          <w:b/>
          <w:bCs/>
          <w:i/>
          <w:color w:val="4472C4" w:themeColor="accent1"/>
          <w:lang w:val="it-IT"/>
        </w:rPr>
      </w:pPr>
      <w:r w:rsidRPr="0037458C">
        <w:rPr>
          <w:rFonts w:cs="Times New Roman"/>
          <w:b/>
          <w:bCs/>
          <w:i/>
          <w:color w:val="4472C4" w:themeColor="accent1"/>
          <w:lang w:val="it-IT"/>
        </w:rPr>
        <w:t>Infrastrutture e mobilità</w:t>
      </w:r>
    </w:p>
    <w:p w14:paraId="23476116" w14:textId="77777777" w:rsidR="0037458C" w:rsidRPr="0037458C" w:rsidRDefault="0037458C" w:rsidP="0037458C">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080"/>
        <w:jc w:val="both"/>
        <w:rPr>
          <w:rFonts w:cs="Times New Roman"/>
          <w:b/>
          <w:bCs/>
          <w:i/>
          <w:color w:val="4472C4" w:themeColor="accent1"/>
          <w:lang w:val="it-IT"/>
        </w:rPr>
      </w:pPr>
    </w:p>
    <w:p w14:paraId="04643B7F" w14:textId="6F167502" w:rsidR="0037458C" w:rsidRPr="0037458C" w:rsidRDefault="0037458C" w:rsidP="0037458C">
      <w:pPr>
        <w:spacing w:after="120" w:line="240" w:lineRule="auto"/>
        <w:ind w:firstLine="709"/>
        <w:jc w:val="both"/>
        <w:rPr>
          <w:rFonts w:ascii="Times New Roman" w:hAnsi="Times New Roman" w:cs="Times New Roman"/>
          <w:sz w:val="24"/>
          <w:szCs w:val="24"/>
        </w:rPr>
      </w:pPr>
      <w:r w:rsidRPr="0037458C">
        <w:rPr>
          <w:rFonts w:ascii="Times New Roman" w:hAnsi="Times New Roman" w:cs="Times New Roman"/>
          <w:sz w:val="24"/>
          <w:szCs w:val="24"/>
        </w:rPr>
        <w:t xml:space="preserve">Nell’ambito della </w:t>
      </w:r>
      <w:proofErr w:type="spellStart"/>
      <w:r>
        <w:rPr>
          <w:rFonts w:ascii="Times New Roman" w:hAnsi="Times New Roman" w:cs="Times New Roman"/>
          <w:sz w:val="24"/>
          <w:szCs w:val="24"/>
        </w:rPr>
        <w:t>M</w:t>
      </w:r>
      <w:r w:rsidRPr="0037458C">
        <w:rPr>
          <w:rFonts w:ascii="Times New Roman" w:hAnsi="Times New Roman" w:cs="Times New Roman"/>
          <w:sz w:val="24"/>
          <w:szCs w:val="24"/>
        </w:rPr>
        <w:t>acromisura</w:t>
      </w:r>
      <w:proofErr w:type="spellEnd"/>
      <w:r w:rsidRPr="0037458C">
        <w:rPr>
          <w:rFonts w:ascii="Times New Roman" w:hAnsi="Times New Roman" w:cs="Times New Roman"/>
          <w:sz w:val="24"/>
          <w:szCs w:val="24"/>
        </w:rPr>
        <w:t xml:space="preserve"> A, merita particolare attenzione la s</w:t>
      </w:r>
      <w:r w:rsidR="00EA3F68">
        <w:rPr>
          <w:rFonts w:ascii="Times New Roman" w:hAnsi="Times New Roman" w:cs="Times New Roman"/>
          <w:sz w:val="24"/>
          <w:szCs w:val="24"/>
        </w:rPr>
        <w:t>ub-</w:t>
      </w:r>
      <w:r w:rsidRPr="0037458C">
        <w:rPr>
          <w:rFonts w:ascii="Times New Roman" w:hAnsi="Times New Roman" w:cs="Times New Roman"/>
          <w:sz w:val="24"/>
          <w:szCs w:val="24"/>
        </w:rPr>
        <w:t>misura denominata A4 “Infrastrutture e mobilità”, che mira a rafforzare il sistema di mobilità dei due crateri</w:t>
      </w:r>
      <w:r w:rsidR="002A6143">
        <w:rPr>
          <w:rFonts w:ascii="Times New Roman" w:hAnsi="Times New Roman" w:cs="Times New Roman"/>
          <w:sz w:val="24"/>
          <w:szCs w:val="24"/>
        </w:rPr>
        <w:t>,</w:t>
      </w:r>
      <w:r w:rsidRPr="0037458C">
        <w:rPr>
          <w:rFonts w:ascii="Times New Roman" w:hAnsi="Times New Roman" w:cs="Times New Roman"/>
          <w:sz w:val="24"/>
          <w:szCs w:val="24"/>
        </w:rPr>
        <w:t xml:space="preserve"> intervenendo sia sul tessuto infrastrutturale delle reti stradali principali e secondarie, sia sulla struttura del trasporto pubblico locale, puntando ad incentivare l’integrazione modale ed il trasporto collettivo.</w:t>
      </w:r>
      <w:r w:rsidR="00D6659C">
        <w:rPr>
          <w:rFonts w:ascii="Times New Roman" w:hAnsi="Times New Roman" w:cs="Times New Roman"/>
          <w:sz w:val="24"/>
          <w:szCs w:val="24"/>
        </w:rPr>
        <w:t xml:space="preserve"> A tal fine, sono state recepite </w:t>
      </w:r>
      <w:r w:rsidR="009E54C5">
        <w:rPr>
          <w:rFonts w:ascii="Times New Roman" w:hAnsi="Times New Roman" w:cs="Times New Roman"/>
          <w:sz w:val="24"/>
          <w:szCs w:val="24"/>
        </w:rPr>
        <w:t xml:space="preserve">le </w:t>
      </w:r>
      <w:r w:rsidR="00D6659C">
        <w:rPr>
          <w:rFonts w:ascii="Times New Roman" w:hAnsi="Times New Roman" w:cs="Times New Roman"/>
          <w:sz w:val="24"/>
          <w:szCs w:val="24"/>
        </w:rPr>
        <w:t xml:space="preserve">indicazioni </w:t>
      </w:r>
      <w:r w:rsidR="009E54C5">
        <w:rPr>
          <w:rFonts w:ascii="Times New Roman" w:hAnsi="Times New Roman" w:cs="Times New Roman"/>
          <w:sz w:val="24"/>
          <w:szCs w:val="24"/>
        </w:rPr>
        <w:t xml:space="preserve">ricavate deal documento di ricognizione rimesso </w:t>
      </w:r>
      <w:r w:rsidR="00D6659C">
        <w:rPr>
          <w:rFonts w:ascii="Times New Roman" w:hAnsi="Times New Roman" w:cs="Times New Roman"/>
          <w:sz w:val="24"/>
          <w:szCs w:val="24"/>
        </w:rPr>
        <w:t xml:space="preserve">dal MIMS </w:t>
      </w:r>
      <w:r w:rsidR="009E54C5">
        <w:rPr>
          <w:rFonts w:ascii="Times New Roman" w:hAnsi="Times New Roman" w:cs="Times New Roman"/>
          <w:sz w:val="24"/>
          <w:szCs w:val="24"/>
        </w:rPr>
        <w:t xml:space="preserve">e trasmesso alle regioni, </w:t>
      </w:r>
      <w:r w:rsidR="00D6659C">
        <w:rPr>
          <w:rFonts w:ascii="Times New Roman" w:hAnsi="Times New Roman" w:cs="Times New Roman"/>
          <w:sz w:val="24"/>
          <w:szCs w:val="24"/>
        </w:rPr>
        <w:t>che verranno successivamente approfondite e specificate nell’ambito dell’accordo ex-art.15 L.241/90.</w:t>
      </w:r>
      <w:r w:rsidR="009E54C5">
        <w:rPr>
          <w:rFonts w:ascii="Times New Roman" w:hAnsi="Times New Roman" w:cs="Times New Roman"/>
          <w:sz w:val="24"/>
          <w:szCs w:val="24"/>
        </w:rPr>
        <w:t xml:space="preserve"> La ripartizione delle risorse per i singoli </w:t>
      </w:r>
      <w:r w:rsidR="00744DF6">
        <w:rPr>
          <w:rFonts w:ascii="Times New Roman" w:hAnsi="Times New Roman" w:cs="Times New Roman"/>
          <w:sz w:val="24"/>
          <w:szCs w:val="24"/>
        </w:rPr>
        <w:t>interventi</w:t>
      </w:r>
      <w:r w:rsidR="009E54C5">
        <w:rPr>
          <w:rFonts w:ascii="Times New Roman" w:hAnsi="Times New Roman" w:cs="Times New Roman"/>
          <w:sz w:val="24"/>
          <w:szCs w:val="24"/>
        </w:rPr>
        <w:t xml:space="preserve"> infrastrutturali è meramente indicativa e sarà anch’essa approfondita e precisata entro il termine del 31 dicembre 2021</w:t>
      </w:r>
    </w:p>
    <w:p w14:paraId="144B3AF3" w14:textId="77777777" w:rsidR="0037458C" w:rsidRPr="0037458C" w:rsidRDefault="0037458C" w:rsidP="0037458C">
      <w:pPr>
        <w:ind w:firstLine="708"/>
        <w:jc w:val="both"/>
        <w:rPr>
          <w:rFonts w:ascii="Times New Roman" w:hAnsi="Times New Roman" w:cs="Times New Roman"/>
          <w:sz w:val="24"/>
          <w:szCs w:val="24"/>
        </w:rPr>
      </w:pPr>
      <w:r w:rsidRPr="0037458C">
        <w:rPr>
          <w:rFonts w:ascii="Times New Roman" w:hAnsi="Times New Roman" w:cs="Times New Roman"/>
          <w:sz w:val="24"/>
          <w:szCs w:val="24"/>
        </w:rPr>
        <w:t>Per le reti stradali, congiuntamente al potenziamento delle direttrici principali di accesso e penetrazione nei crateri, si interviene anche sulla viabilità minore di distribuzione interna, che collega i tanti borghi in cui sia articola la struttura insediativa di questo territorio.</w:t>
      </w:r>
    </w:p>
    <w:p w14:paraId="25213E84" w14:textId="77777777" w:rsidR="0037458C" w:rsidRPr="0037458C" w:rsidRDefault="0037458C" w:rsidP="0037458C">
      <w:pPr>
        <w:ind w:firstLine="708"/>
        <w:jc w:val="both"/>
        <w:rPr>
          <w:rFonts w:ascii="Times New Roman" w:hAnsi="Times New Roman" w:cs="Times New Roman"/>
          <w:sz w:val="24"/>
          <w:szCs w:val="24"/>
        </w:rPr>
      </w:pPr>
      <w:r w:rsidRPr="0037458C">
        <w:rPr>
          <w:rFonts w:ascii="Times New Roman" w:hAnsi="Times New Roman" w:cs="Times New Roman"/>
          <w:sz w:val="24"/>
          <w:szCs w:val="24"/>
        </w:rPr>
        <w:t>Si interviene, quindi, per implementare le potenzialità e la qualità della mobilità, in particolare quella relativa al trasporto pubblico locale, mediante nuove e più specifiche modalità di fruizione (bus a chiamata, servizi ritagliati per le specifiche esigenze di una popolazione residente in maniera diffusa sul territorio e poco concentrata nei centri urbani).</w:t>
      </w:r>
    </w:p>
    <w:p w14:paraId="07681750" w14:textId="77777777" w:rsidR="0037458C" w:rsidRPr="0037458C" w:rsidRDefault="0037458C" w:rsidP="0037458C">
      <w:pPr>
        <w:ind w:firstLine="708"/>
        <w:jc w:val="both"/>
        <w:rPr>
          <w:rFonts w:ascii="Times New Roman" w:hAnsi="Times New Roman" w:cs="Times New Roman"/>
          <w:sz w:val="24"/>
          <w:szCs w:val="24"/>
        </w:rPr>
      </w:pPr>
      <w:r w:rsidRPr="0037458C">
        <w:rPr>
          <w:rFonts w:ascii="Times New Roman" w:hAnsi="Times New Roman" w:cs="Times New Roman"/>
          <w:sz w:val="24"/>
          <w:szCs w:val="24"/>
        </w:rPr>
        <w:t>Vi è, inoltre, la promozione di sistemi innovativi per implementare il TPL anche mediante l’utilizzo di mezzi con combustibile ad idrogeno, di cui si intendono realizzare dei punti di produzione a servizio del trasporto ferroviario locale, ma che produrranno risorse energetiche anche per altri usi produttivi e che potranno fungere da volano attrattivo per una pluralità di imprese e servizi.</w:t>
      </w:r>
    </w:p>
    <w:p w14:paraId="3F5304DF" w14:textId="77777777" w:rsidR="0037458C" w:rsidRPr="0037458C" w:rsidRDefault="0037458C" w:rsidP="0037458C">
      <w:pPr>
        <w:ind w:firstLine="708"/>
        <w:jc w:val="both"/>
        <w:rPr>
          <w:rFonts w:ascii="Times New Roman" w:hAnsi="Times New Roman" w:cs="Times New Roman"/>
          <w:sz w:val="24"/>
          <w:szCs w:val="24"/>
        </w:rPr>
      </w:pPr>
      <w:r w:rsidRPr="0037458C">
        <w:rPr>
          <w:rFonts w:ascii="Times New Roman" w:hAnsi="Times New Roman" w:cs="Times New Roman"/>
          <w:sz w:val="24"/>
          <w:szCs w:val="24"/>
        </w:rPr>
        <w:t>Si intende, inoltre, aumentare l'attrattività e la varietà di offerta della mobilità locale (anche attraverso sistemi di localizzazione, prenotazione e chiamate digitali), del trasporto condiviso e della bicicletta.</w:t>
      </w:r>
    </w:p>
    <w:p w14:paraId="6EEEAA50" w14:textId="77777777" w:rsidR="0037458C" w:rsidRPr="0037458C" w:rsidRDefault="0037458C" w:rsidP="0037458C">
      <w:pPr>
        <w:ind w:firstLine="708"/>
        <w:jc w:val="both"/>
        <w:rPr>
          <w:rFonts w:ascii="Times New Roman" w:hAnsi="Times New Roman" w:cs="Times New Roman"/>
          <w:sz w:val="24"/>
          <w:szCs w:val="24"/>
        </w:rPr>
      </w:pPr>
      <w:r w:rsidRPr="0037458C">
        <w:rPr>
          <w:rFonts w:ascii="Times New Roman" w:hAnsi="Times New Roman" w:cs="Times New Roman"/>
          <w:sz w:val="24"/>
          <w:szCs w:val="24"/>
        </w:rPr>
        <w:t>Le infrastrutture e l’intermodalità tra i diversi tipi di trasporto (</w:t>
      </w:r>
      <w:r w:rsidRPr="0037458C">
        <w:rPr>
          <w:rFonts w:ascii="Times New Roman" w:hAnsi="Times New Roman" w:cs="Times New Roman"/>
          <w:i/>
          <w:sz w:val="24"/>
          <w:szCs w:val="24"/>
        </w:rPr>
        <w:t>hub</w:t>
      </w:r>
      <w:r w:rsidRPr="0037458C">
        <w:rPr>
          <w:rFonts w:ascii="Times New Roman" w:hAnsi="Times New Roman" w:cs="Times New Roman"/>
          <w:sz w:val="24"/>
          <w:szCs w:val="24"/>
        </w:rPr>
        <w:t xml:space="preserve"> per connessioni tra percorsi veloci/lenti) saranno rafforzate mediante il potenziamento del trasporto pubblico urbano ed extraurbano e della rete viaria, con particolare attenzione, come detto, alla viabilità minore, nonché al sistema infrastrutturale di accesso alle aree del Cratere. Saranno, infatti, finanziati interventi sulla rete stradale secondaria, oltre ad altri interventi specifici per alcuni lotti della viabilità statale concordati con il MIMS.</w:t>
      </w:r>
    </w:p>
    <w:p w14:paraId="5508ADF5" w14:textId="4B903ECA" w:rsidR="0037458C" w:rsidRPr="0037458C" w:rsidRDefault="0037458C" w:rsidP="0037458C">
      <w:pPr>
        <w:ind w:firstLine="708"/>
        <w:jc w:val="both"/>
        <w:rPr>
          <w:rFonts w:ascii="Times New Roman" w:hAnsi="Times New Roman" w:cs="Times New Roman"/>
          <w:sz w:val="24"/>
          <w:szCs w:val="24"/>
        </w:rPr>
      </w:pPr>
      <w:r w:rsidRPr="0037458C">
        <w:rPr>
          <w:rFonts w:ascii="Times New Roman" w:hAnsi="Times New Roman" w:cs="Times New Roman"/>
          <w:sz w:val="24"/>
          <w:szCs w:val="24"/>
        </w:rPr>
        <w:t>Sulla rete secondaria si intendono attuare interventi necessari di ripristino e adeguamento delle strade comunali, selezionando quelli a maggior impatto in termini di ricadute sociali ed economiche, anche valutando quelli necessari a garantire i livelli minimi d’emergenza sulla rete stradale comunale e provinciale a servizio di edifici e infrastrutture strategiche.</w:t>
      </w:r>
    </w:p>
    <w:p w14:paraId="49066340" w14:textId="77777777" w:rsidR="0037458C" w:rsidRPr="0037458C" w:rsidRDefault="0037458C" w:rsidP="0037458C">
      <w:pPr>
        <w:ind w:firstLine="708"/>
        <w:jc w:val="both"/>
        <w:rPr>
          <w:rFonts w:ascii="Times New Roman" w:hAnsi="Times New Roman" w:cs="Times New Roman"/>
          <w:sz w:val="24"/>
          <w:szCs w:val="24"/>
        </w:rPr>
      </w:pPr>
      <w:r w:rsidRPr="0037458C">
        <w:rPr>
          <w:rFonts w:ascii="Times New Roman" w:hAnsi="Times New Roman" w:cs="Times New Roman"/>
          <w:sz w:val="24"/>
          <w:szCs w:val="24"/>
        </w:rPr>
        <w:t>Sulla rete principale, invece, le azioni sono focalizzate a migliorare i livelli di servizio e a ridurre i tempi di percorrenza sia dei collegamenti del cratere con la rete stradale primaria, costituita dalle autostrade e le strade statali a veloce scorrimento, sia della distruzione interna, al fine di agevolare un funzionamento a rete di servizi e attività produttive.</w:t>
      </w:r>
    </w:p>
    <w:p w14:paraId="151A6086" w14:textId="75E45BEB" w:rsidR="0037458C" w:rsidRPr="000157C0" w:rsidRDefault="0037458C" w:rsidP="0037458C">
      <w:pPr>
        <w:ind w:firstLine="708"/>
        <w:jc w:val="both"/>
        <w:rPr>
          <w:rFonts w:ascii="Times New Roman" w:hAnsi="Times New Roman" w:cs="Times New Roman"/>
          <w:sz w:val="24"/>
          <w:szCs w:val="24"/>
        </w:rPr>
      </w:pPr>
      <w:r w:rsidRPr="000157C0">
        <w:rPr>
          <w:rFonts w:ascii="Times New Roman" w:hAnsi="Times New Roman" w:cs="Times New Roman"/>
          <w:sz w:val="24"/>
          <w:szCs w:val="24"/>
        </w:rPr>
        <w:t xml:space="preserve">A questo fine sono previsti interventi su alcuni lotti della viabilità statale, </w:t>
      </w:r>
      <w:r w:rsidR="000157C0" w:rsidRPr="000157C0">
        <w:rPr>
          <w:rFonts w:ascii="Times New Roman" w:hAnsi="Times New Roman" w:cs="Times New Roman"/>
          <w:sz w:val="24"/>
          <w:szCs w:val="24"/>
        </w:rPr>
        <w:t>per il</w:t>
      </w:r>
      <w:r w:rsidRPr="000157C0">
        <w:rPr>
          <w:rFonts w:ascii="Times New Roman" w:hAnsi="Times New Roman" w:cs="Times New Roman"/>
          <w:sz w:val="24"/>
          <w:szCs w:val="24"/>
        </w:rPr>
        <w:t xml:space="preserve"> finanziamento della progettazione complessiva e della realizzazione di primi stralci funzionali, subordinat</w:t>
      </w:r>
      <w:r w:rsidR="000157C0" w:rsidRPr="000157C0">
        <w:rPr>
          <w:rFonts w:ascii="Times New Roman" w:hAnsi="Times New Roman" w:cs="Times New Roman"/>
          <w:sz w:val="24"/>
          <w:szCs w:val="24"/>
        </w:rPr>
        <w:t>amente</w:t>
      </w:r>
      <w:r w:rsidRPr="000157C0">
        <w:rPr>
          <w:rFonts w:ascii="Times New Roman" w:hAnsi="Times New Roman" w:cs="Times New Roman"/>
          <w:sz w:val="24"/>
          <w:szCs w:val="24"/>
        </w:rPr>
        <w:t xml:space="preserve"> ad </w:t>
      </w:r>
      <w:r w:rsidRPr="000157C0">
        <w:rPr>
          <w:rFonts w:ascii="Times New Roman" w:hAnsi="Times New Roman" w:cs="Times New Roman"/>
          <w:sz w:val="24"/>
          <w:szCs w:val="24"/>
        </w:rPr>
        <w:lastRenderedPageBreak/>
        <w:t>un accordo ex</w:t>
      </w:r>
      <w:r w:rsidR="000157C0" w:rsidRPr="000157C0">
        <w:rPr>
          <w:rFonts w:ascii="Times New Roman" w:hAnsi="Times New Roman" w:cs="Times New Roman"/>
          <w:sz w:val="24"/>
          <w:szCs w:val="24"/>
        </w:rPr>
        <w:t xml:space="preserve"> </w:t>
      </w:r>
      <w:r w:rsidRPr="000157C0">
        <w:rPr>
          <w:rFonts w:ascii="Times New Roman" w:hAnsi="Times New Roman" w:cs="Times New Roman"/>
          <w:sz w:val="24"/>
          <w:szCs w:val="24"/>
        </w:rPr>
        <w:t>art.</w:t>
      </w:r>
      <w:r w:rsidR="000157C0" w:rsidRPr="000157C0">
        <w:rPr>
          <w:rFonts w:ascii="Times New Roman" w:hAnsi="Times New Roman" w:cs="Times New Roman"/>
          <w:sz w:val="24"/>
          <w:szCs w:val="24"/>
        </w:rPr>
        <w:t xml:space="preserve"> </w:t>
      </w:r>
      <w:r w:rsidRPr="000157C0">
        <w:rPr>
          <w:rFonts w:ascii="Times New Roman" w:hAnsi="Times New Roman" w:cs="Times New Roman"/>
          <w:sz w:val="24"/>
          <w:szCs w:val="24"/>
        </w:rPr>
        <w:t>15 L.</w:t>
      </w:r>
      <w:r w:rsidR="000157C0" w:rsidRPr="000157C0">
        <w:rPr>
          <w:rFonts w:ascii="Times New Roman" w:hAnsi="Times New Roman" w:cs="Times New Roman"/>
          <w:sz w:val="24"/>
          <w:szCs w:val="24"/>
        </w:rPr>
        <w:t xml:space="preserve"> </w:t>
      </w:r>
      <w:r w:rsidRPr="000157C0">
        <w:rPr>
          <w:rFonts w:ascii="Times New Roman" w:hAnsi="Times New Roman" w:cs="Times New Roman"/>
          <w:sz w:val="24"/>
          <w:szCs w:val="24"/>
        </w:rPr>
        <w:t>241/90 con il MIMS e successivamente inserito nella rimodulazione del Contratto di Programma di Anas.</w:t>
      </w:r>
    </w:p>
    <w:p w14:paraId="2FF5B917" w14:textId="77777777" w:rsidR="0037458C" w:rsidRDefault="0037458C" w:rsidP="0037458C">
      <w:pPr>
        <w:ind w:firstLine="708"/>
        <w:jc w:val="both"/>
        <w:rPr>
          <w:rFonts w:ascii="Times New Roman" w:hAnsi="Times New Roman" w:cs="Times New Roman"/>
          <w:sz w:val="24"/>
          <w:szCs w:val="24"/>
        </w:rPr>
      </w:pPr>
      <w:r w:rsidRPr="000157C0">
        <w:rPr>
          <w:rFonts w:ascii="Times New Roman" w:hAnsi="Times New Roman" w:cs="Times New Roman"/>
          <w:sz w:val="24"/>
          <w:szCs w:val="24"/>
        </w:rPr>
        <w:t>L’inserimento all’interno del PNRR Complementare dà la possibilità, a tali interventi, di poter godere delle procedure semplificate che reggono gli interventi finanziati, ai sensi dell’art.48 del decreto-legge n.77/21, convertito con modificazioni dalla L.108/21.  A tal proposito, e per venire incontro alle esigenze sollecitate dai territori, è stato previsto uno stretto coordinamento tra il MIMS, l’Anas e la Cabina di Coordinamento per l’attuazione del PNRR Complementare (Struttura Commissariale Sisma 2016, Struttura di Missione Sisma 2009 e le 4 Regioni dei due crateri). In particolare, le azioni indicate nella scheda fanno riferimento, per la loro attuazione, ad un protocollo di intesa, da sottoscrivere in una fase successiva, e che ne definirà l’iter attuativo e le rispettive competenze, in un’ottica di velocizzazione ed ottimizzazione delle procedure.</w:t>
      </w:r>
    </w:p>
    <w:p w14:paraId="00CA7AFB" w14:textId="77777777" w:rsidR="000157C0" w:rsidRDefault="000157C0">
      <w:pPr>
        <w:rPr>
          <w:rFonts w:ascii="Times New Roman" w:hAnsi="Times New Roman" w:cs="Times New Roman"/>
          <w:sz w:val="24"/>
          <w:szCs w:val="24"/>
        </w:rPr>
      </w:pPr>
    </w:p>
    <w:p w14:paraId="72DC9791" w14:textId="77777777" w:rsidR="002A6488" w:rsidRDefault="002A6488" w:rsidP="00B32643">
      <w:pPr>
        <w:jc w:val="both"/>
        <w:rPr>
          <w:rFonts w:ascii="Times New Roman" w:hAnsi="Times New Roman" w:cs="Times New Roman"/>
          <w:sz w:val="24"/>
          <w:szCs w:val="24"/>
        </w:rPr>
      </w:pPr>
      <w:r>
        <w:rPr>
          <w:rFonts w:ascii="Times New Roman" w:hAnsi="Times New Roman" w:cs="Times New Roman"/>
          <w:sz w:val="24"/>
          <w:szCs w:val="24"/>
        </w:rPr>
        <w:t>------------------------------------------------------------------------------------------------------------------------</w:t>
      </w:r>
    </w:p>
    <w:p w14:paraId="13AF9236" w14:textId="77777777" w:rsidR="00D02161" w:rsidRDefault="00D02161" w:rsidP="002A6143">
      <w:pPr>
        <w:ind w:firstLine="567"/>
        <w:jc w:val="both"/>
        <w:rPr>
          <w:rFonts w:ascii="Times New Roman" w:hAnsi="Times New Roman" w:cs="Times New Roman"/>
          <w:sz w:val="24"/>
          <w:szCs w:val="24"/>
        </w:rPr>
      </w:pPr>
      <w:r w:rsidRPr="00D02161">
        <w:rPr>
          <w:rFonts w:ascii="Times New Roman" w:hAnsi="Times New Roman" w:cs="Times New Roman"/>
          <w:sz w:val="24"/>
          <w:szCs w:val="24"/>
        </w:rPr>
        <w:t xml:space="preserve">Per il dettaglio delle </w:t>
      </w:r>
      <w:proofErr w:type="spellStart"/>
      <w:r w:rsidRPr="00D02161">
        <w:rPr>
          <w:rFonts w:ascii="Times New Roman" w:hAnsi="Times New Roman" w:cs="Times New Roman"/>
          <w:sz w:val="24"/>
          <w:szCs w:val="24"/>
        </w:rPr>
        <w:t>Macromisure</w:t>
      </w:r>
      <w:proofErr w:type="spellEnd"/>
      <w:r w:rsidRPr="00D02161">
        <w:rPr>
          <w:rFonts w:ascii="Times New Roman" w:hAnsi="Times New Roman" w:cs="Times New Roman"/>
          <w:sz w:val="24"/>
          <w:szCs w:val="24"/>
        </w:rPr>
        <w:t xml:space="preserve"> A e B, si rinvia alle schede in allegato, che riportano, per ciascuna sub-misura, le finalità specifiche, gli obiettivi di realizzazione, l’indicazione dei soggetti responsabili dell’attuazione</w:t>
      </w:r>
      <w:r w:rsidR="00795AE2">
        <w:rPr>
          <w:rFonts w:ascii="Times New Roman" w:hAnsi="Times New Roman" w:cs="Times New Roman"/>
          <w:sz w:val="24"/>
          <w:szCs w:val="24"/>
        </w:rPr>
        <w:t>, nonché il relativo riparto delle risorse.</w:t>
      </w:r>
    </w:p>
    <w:p w14:paraId="5188DC49" w14:textId="77777777" w:rsidR="00D542BF" w:rsidRDefault="00BC6FA9" w:rsidP="00341B39">
      <w:pPr>
        <w:ind w:firstLine="567"/>
        <w:jc w:val="both"/>
        <w:rPr>
          <w:rFonts w:ascii="Times New Roman" w:hAnsi="Times New Roman" w:cs="Times New Roman"/>
          <w:sz w:val="24"/>
          <w:szCs w:val="24"/>
        </w:rPr>
      </w:pPr>
      <w:r>
        <w:rPr>
          <w:rFonts w:ascii="Times New Roman" w:hAnsi="Times New Roman" w:cs="Times New Roman"/>
          <w:sz w:val="24"/>
          <w:szCs w:val="24"/>
        </w:rPr>
        <w:t xml:space="preserve">Le linee di intervento, come individuate in dettaglio nelle schede allegate, potranno essere oggetto di ulteriore specificazione e rideterminazione all’atto dell’individuazione degli interventi, che avverrà nella fase immediatamente </w:t>
      </w:r>
      <w:r w:rsidRPr="00F271E7">
        <w:rPr>
          <w:rFonts w:ascii="Times New Roman" w:hAnsi="Times New Roman" w:cs="Times New Roman"/>
          <w:sz w:val="24"/>
          <w:szCs w:val="24"/>
        </w:rPr>
        <w:t>successiva all’attuale fase di individuazione dei cd. programmi unitari di intervento</w:t>
      </w:r>
      <w:r>
        <w:rPr>
          <w:rFonts w:ascii="Times New Roman" w:hAnsi="Times New Roman" w:cs="Times New Roman"/>
          <w:sz w:val="24"/>
          <w:szCs w:val="24"/>
        </w:rPr>
        <w:t>.</w:t>
      </w:r>
      <w:r w:rsidR="00341B39">
        <w:rPr>
          <w:rFonts w:ascii="Times New Roman" w:hAnsi="Times New Roman" w:cs="Times New Roman"/>
          <w:sz w:val="24"/>
          <w:szCs w:val="24"/>
        </w:rPr>
        <w:t xml:space="preserve"> In tale fase, </w:t>
      </w:r>
      <w:r w:rsidR="007F08AD">
        <w:rPr>
          <w:rFonts w:ascii="Times New Roman" w:hAnsi="Times New Roman" w:cs="Times New Roman"/>
          <w:sz w:val="24"/>
          <w:szCs w:val="24"/>
        </w:rPr>
        <w:t>si provvederà, inoltre, all</w:t>
      </w:r>
      <w:r w:rsidR="00D542BF">
        <w:rPr>
          <w:rFonts w:ascii="Times New Roman" w:hAnsi="Times New Roman" w:cs="Times New Roman"/>
          <w:sz w:val="24"/>
          <w:szCs w:val="24"/>
        </w:rPr>
        <w:t xml:space="preserve">’articolazione degli interventi in relazione ai due </w:t>
      </w:r>
      <w:r w:rsidR="00341B39">
        <w:rPr>
          <w:rFonts w:ascii="Times New Roman" w:hAnsi="Times New Roman" w:cs="Times New Roman"/>
          <w:sz w:val="24"/>
          <w:szCs w:val="24"/>
        </w:rPr>
        <w:t>crateri</w:t>
      </w:r>
      <w:r w:rsidR="00D542BF">
        <w:rPr>
          <w:rFonts w:ascii="Times New Roman" w:hAnsi="Times New Roman" w:cs="Times New Roman"/>
          <w:sz w:val="24"/>
          <w:szCs w:val="24"/>
        </w:rPr>
        <w:t xml:space="preserve"> 2009 e 2016, </w:t>
      </w:r>
      <w:r w:rsidR="007F08AD">
        <w:rPr>
          <w:rFonts w:ascii="Times New Roman" w:hAnsi="Times New Roman" w:cs="Times New Roman"/>
          <w:sz w:val="24"/>
          <w:szCs w:val="24"/>
        </w:rPr>
        <w:t>nonché a</w:t>
      </w:r>
      <w:r w:rsidR="00D542BF">
        <w:rPr>
          <w:rFonts w:ascii="Times New Roman" w:hAnsi="Times New Roman" w:cs="Times New Roman"/>
          <w:sz w:val="24"/>
          <w:szCs w:val="24"/>
        </w:rPr>
        <w:t xml:space="preserve">l relativo riparto delle risorse per </w:t>
      </w:r>
      <w:r w:rsidR="007F08AD">
        <w:rPr>
          <w:rFonts w:ascii="Times New Roman" w:hAnsi="Times New Roman" w:cs="Times New Roman"/>
          <w:sz w:val="24"/>
          <w:szCs w:val="24"/>
        </w:rPr>
        <w:t xml:space="preserve">ciascun </w:t>
      </w:r>
      <w:r w:rsidR="00D542BF">
        <w:rPr>
          <w:rFonts w:ascii="Times New Roman" w:hAnsi="Times New Roman" w:cs="Times New Roman"/>
          <w:sz w:val="24"/>
          <w:szCs w:val="24"/>
        </w:rPr>
        <w:t>territorio.</w:t>
      </w:r>
    </w:p>
    <w:p w14:paraId="0A77BEFB" w14:textId="77777777" w:rsidR="002A6143" w:rsidRDefault="007F08AD" w:rsidP="002A6143">
      <w:pPr>
        <w:ind w:firstLine="567"/>
        <w:jc w:val="both"/>
        <w:rPr>
          <w:rFonts w:ascii="Times New Roman" w:hAnsi="Times New Roman" w:cs="Times New Roman"/>
          <w:sz w:val="24"/>
          <w:szCs w:val="24"/>
        </w:rPr>
      </w:pPr>
      <w:r>
        <w:rPr>
          <w:rFonts w:ascii="Times New Roman" w:hAnsi="Times New Roman" w:cs="Times New Roman"/>
          <w:sz w:val="24"/>
          <w:szCs w:val="24"/>
        </w:rPr>
        <w:t>A</w:t>
      </w:r>
      <w:r w:rsidR="002A6143" w:rsidRPr="00F271E7">
        <w:rPr>
          <w:rFonts w:ascii="Times New Roman" w:hAnsi="Times New Roman" w:cs="Times New Roman"/>
          <w:sz w:val="24"/>
          <w:szCs w:val="24"/>
        </w:rPr>
        <w:t>l fine di</w:t>
      </w:r>
      <w:r w:rsidR="00D542BF">
        <w:rPr>
          <w:rFonts w:ascii="Times New Roman" w:hAnsi="Times New Roman" w:cs="Times New Roman"/>
          <w:sz w:val="24"/>
          <w:szCs w:val="24"/>
        </w:rPr>
        <w:t xml:space="preserve"> consentire</w:t>
      </w:r>
      <w:r w:rsidR="002A6143" w:rsidRPr="00F271E7">
        <w:rPr>
          <w:rFonts w:ascii="Times New Roman" w:hAnsi="Times New Roman" w:cs="Times New Roman"/>
          <w:sz w:val="24"/>
          <w:szCs w:val="24"/>
        </w:rPr>
        <w:t xml:space="preserve"> una corretta ed effic</w:t>
      </w:r>
      <w:r w:rsidR="00341B39">
        <w:rPr>
          <w:rFonts w:ascii="Times New Roman" w:hAnsi="Times New Roman" w:cs="Times New Roman"/>
          <w:sz w:val="24"/>
          <w:szCs w:val="24"/>
        </w:rPr>
        <w:t>ace</w:t>
      </w:r>
      <w:r w:rsidR="002A6143" w:rsidRPr="00F271E7">
        <w:rPr>
          <w:rFonts w:ascii="Times New Roman" w:hAnsi="Times New Roman" w:cs="Times New Roman"/>
          <w:sz w:val="24"/>
          <w:szCs w:val="24"/>
        </w:rPr>
        <w:t xml:space="preserve"> programmazione ed individuazione degli interventi, </w:t>
      </w:r>
      <w:r w:rsidR="00D542BF">
        <w:rPr>
          <w:rFonts w:ascii="Times New Roman" w:hAnsi="Times New Roman" w:cs="Times New Roman"/>
          <w:sz w:val="24"/>
          <w:szCs w:val="24"/>
        </w:rPr>
        <w:t>sarà</w:t>
      </w:r>
      <w:r w:rsidR="002A6143" w:rsidRPr="00F271E7">
        <w:rPr>
          <w:rFonts w:ascii="Times New Roman" w:hAnsi="Times New Roman" w:cs="Times New Roman"/>
          <w:sz w:val="24"/>
          <w:szCs w:val="24"/>
        </w:rPr>
        <w:t xml:space="preserve"> consentita la rimodulazione del riparto delle risorse indicate nelle schede di dettaglio, allegate al presente documento, sia pur solo nell’ambito della medesima </w:t>
      </w:r>
      <w:proofErr w:type="spellStart"/>
      <w:r w:rsidR="002A6143">
        <w:rPr>
          <w:rFonts w:ascii="Times New Roman" w:hAnsi="Times New Roman" w:cs="Times New Roman"/>
          <w:sz w:val="24"/>
          <w:szCs w:val="24"/>
        </w:rPr>
        <w:t>M</w:t>
      </w:r>
      <w:r w:rsidR="002A6143" w:rsidRPr="00F271E7">
        <w:rPr>
          <w:rFonts w:ascii="Times New Roman" w:hAnsi="Times New Roman" w:cs="Times New Roman"/>
          <w:sz w:val="24"/>
          <w:szCs w:val="24"/>
        </w:rPr>
        <w:t>acromisura</w:t>
      </w:r>
      <w:proofErr w:type="spellEnd"/>
      <w:r w:rsidR="00D542BF">
        <w:rPr>
          <w:rFonts w:ascii="Times New Roman" w:hAnsi="Times New Roman" w:cs="Times New Roman"/>
          <w:sz w:val="24"/>
          <w:szCs w:val="24"/>
        </w:rPr>
        <w:t>.</w:t>
      </w:r>
    </w:p>
    <w:p w14:paraId="2EE64A39" w14:textId="77777777" w:rsidR="009E2FCE" w:rsidRPr="00F271E7" w:rsidRDefault="009E2FCE" w:rsidP="007F08AD">
      <w:pPr>
        <w:jc w:val="both"/>
        <w:rPr>
          <w:rFonts w:ascii="Times New Roman" w:hAnsi="Times New Roman" w:cs="Times New Roman"/>
          <w:sz w:val="24"/>
          <w:szCs w:val="24"/>
        </w:rPr>
      </w:pPr>
    </w:p>
    <w:p w14:paraId="53BA3889" w14:textId="77777777" w:rsidR="00895B9F" w:rsidRDefault="00895B9F" w:rsidP="00F271E7">
      <w:pPr>
        <w:jc w:val="both"/>
        <w:rPr>
          <w:rFonts w:ascii="Times New Roman" w:hAnsi="Times New Roman" w:cs="Times New Roman"/>
          <w:sz w:val="24"/>
          <w:szCs w:val="24"/>
        </w:rPr>
      </w:pPr>
    </w:p>
    <w:sectPr w:rsidR="00895B9F" w:rsidSect="004928F2">
      <w:headerReference w:type="default" r:id="rId8"/>
      <w:footerReference w:type="even" r:id="rId9"/>
      <w:footerReference w:type="default" r:id="rId10"/>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5C62" w14:textId="77777777" w:rsidR="002966D7" w:rsidRDefault="002966D7" w:rsidP="005675D7">
      <w:pPr>
        <w:spacing w:after="0" w:line="240" w:lineRule="auto"/>
      </w:pPr>
      <w:r>
        <w:separator/>
      </w:r>
    </w:p>
  </w:endnote>
  <w:endnote w:type="continuationSeparator" w:id="0">
    <w:p w14:paraId="5AAA2A46" w14:textId="77777777" w:rsidR="002966D7" w:rsidRDefault="002966D7" w:rsidP="00567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OldStyle">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441791377"/>
      <w:docPartObj>
        <w:docPartGallery w:val="Page Numbers (Bottom of Page)"/>
        <w:docPartUnique/>
      </w:docPartObj>
    </w:sdtPr>
    <w:sdtEndPr>
      <w:rPr>
        <w:rStyle w:val="Numeropagina"/>
      </w:rPr>
    </w:sdtEndPr>
    <w:sdtContent>
      <w:p w14:paraId="66F65147" w14:textId="77777777" w:rsidR="002E7CF6" w:rsidRDefault="002E7CF6" w:rsidP="008407D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298F7AC" w14:textId="77777777" w:rsidR="002E7CF6" w:rsidRDefault="002E7CF6" w:rsidP="004758C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35534217"/>
      <w:docPartObj>
        <w:docPartGallery w:val="Page Numbers (Bottom of Page)"/>
        <w:docPartUnique/>
      </w:docPartObj>
    </w:sdtPr>
    <w:sdtEndPr>
      <w:rPr>
        <w:rStyle w:val="Numeropagina"/>
      </w:rPr>
    </w:sdtEndPr>
    <w:sdtContent>
      <w:p w14:paraId="01D8590C" w14:textId="77777777" w:rsidR="002E7CF6" w:rsidRDefault="002E7CF6" w:rsidP="008407D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63DCE40B" w14:textId="77777777" w:rsidR="002E7CF6" w:rsidRDefault="002E7CF6" w:rsidP="004758C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16CFD" w14:textId="77777777" w:rsidR="002966D7" w:rsidRDefault="002966D7" w:rsidP="005675D7">
      <w:pPr>
        <w:spacing w:after="0" w:line="240" w:lineRule="auto"/>
      </w:pPr>
      <w:r>
        <w:separator/>
      </w:r>
    </w:p>
  </w:footnote>
  <w:footnote w:type="continuationSeparator" w:id="0">
    <w:p w14:paraId="6D16A1FE" w14:textId="77777777" w:rsidR="002966D7" w:rsidRDefault="002966D7" w:rsidP="005675D7">
      <w:pPr>
        <w:spacing w:after="0" w:line="240" w:lineRule="auto"/>
      </w:pPr>
      <w:r>
        <w:continuationSeparator/>
      </w:r>
    </w:p>
  </w:footnote>
  <w:footnote w:id="1">
    <w:p w14:paraId="651CA53D" w14:textId="77777777" w:rsidR="002E7CF6" w:rsidRPr="00272CED" w:rsidRDefault="002E7CF6" w:rsidP="006A2A23">
      <w:pPr>
        <w:pStyle w:val="CorpoA"/>
        <w:jc w:val="both"/>
        <w:rPr>
          <w:lang w:val="it-IT"/>
        </w:rPr>
      </w:pPr>
      <w:r w:rsidRPr="00272CED">
        <w:rPr>
          <w:rStyle w:val="Rimandonotaapidipagina"/>
        </w:rPr>
        <w:footnoteRef/>
      </w:r>
      <w:r w:rsidRPr="00272CED">
        <w:rPr>
          <w:lang w:val="it-IT"/>
        </w:rPr>
        <w:t xml:space="preserve"> </w:t>
      </w:r>
      <w:r w:rsidRPr="00272CED">
        <w:rPr>
          <w:sz w:val="20"/>
          <w:szCs w:val="20"/>
          <w:lang w:val="it-IT"/>
        </w:rPr>
        <w:t>Sono state infatti raccolte più di 4000 evidenze che hanno permesso di costruire una banca-dati sugli effetti del terremoto distinti in effetti diretti ed effetti secondari.</w:t>
      </w:r>
      <w:r w:rsidRPr="00272CED">
        <w:rPr>
          <w:lang w:val="it-IT"/>
        </w:rPr>
        <w:t xml:space="preserve"> </w:t>
      </w:r>
    </w:p>
  </w:footnote>
  <w:footnote w:id="2">
    <w:p w14:paraId="16FBEFC0" w14:textId="77777777" w:rsidR="002E7CF6" w:rsidRPr="00272CED" w:rsidRDefault="002E7CF6" w:rsidP="007D48ED">
      <w:pPr>
        <w:pStyle w:val="CorpoA"/>
        <w:jc w:val="both"/>
        <w:rPr>
          <w:lang w:val="it-IT"/>
        </w:rPr>
      </w:pPr>
      <w:r w:rsidRPr="00272CED">
        <w:rPr>
          <w:rStyle w:val="Rimandonotaapidipagina"/>
        </w:rPr>
        <w:footnoteRef/>
      </w:r>
      <w:r w:rsidRPr="00272CED">
        <w:rPr>
          <w:lang w:val="it-IT"/>
        </w:rPr>
        <w:t xml:space="preserve"> </w:t>
      </w:r>
      <w:r w:rsidRPr="00272CED">
        <w:rPr>
          <w:color w:val="auto"/>
          <w:sz w:val="20"/>
          <w:szCs w:val="20"/>
          <w:lang w:val="it-IT"/>
        </w:rPr>
        <w:t>Questo numero è certamente basso (al pari della densità abitativa, che è in media di 72 ab/km</w:t>
      </w:r>
      <w:r w:rsidRPr="00272CED">
        <w:rPr>
          <w:color w:val="auto"/>
          <w:sz w:val="20"/>
          <w:szCs w:val="20"/>
          <w:vertAlign w:val="superscript"/>
          <w:lang w:val="it-IT"/>
        </w:rPr>
        <w:t>2</w:t>
      </w:r>
      <w:r w:rsidRPr="00272CED">
        <w:rPr>
          <w:color w:val="auto"/>
          <w:sz w:val="20"/>
          <w:szCs w:val="20"/>
          <w:lang w:val="it-IT"/>
        </w:rPr>
        <w:t>), specie se raffrontato alla corrispondente cifra che si può trovare in territori italiani ben più densamente e intensamente urbanizzati, ma in termini assoluti è comunque rilevante, e assume ancor più valore e significato se analizzato in termini di distribuzione territoriale e di qualità delle aree urbanizzate.</w:t>
      </w:r>
    </w:p>
  </w:footnote>
  <w:footnote w:id="3">
    <w:p w14:paraId="5A296361" w14:textId="77777777" w:rsidR="002E7CF6" w:rsidRPr="00272CED" w:rsidRDefault="002E7CF6" w:rsidP="00307256">
      <w:pPr>
        <w:pStyle w:val="Testonotaapidipagina"/>
        <w:jc w:val="both"/>
      </w:pPr>
      <w:r w:rsidRPr="00272CED">
        <w:rPr>
          <w:rStyle w:val="Rimandonotaapidipagina"/>
        </w:rPr>
        <w:footnoteRef/>
      </w:r>
      <w:r w:rsidRPr="00272CED">
        <w:t xml:space="preserve"> </w:t>
      </w:r>
      <w:r w:rsidRPr="00272CED">
        <w:rPr>
          <w:rFonts w:ascii="Times New Roman" w:eastAsia="Arial Unicode MS" w:hAnsi="Times New Roman" w:cs="Arial Unicode MS"/>
          <w:kern w:val="2"/>
          <w:u w:color="00000A"/>
          <w:bdr w:val="nil"/>
        </w:rPr>
        <w:t>Federico Benassi - ISTAT; Annalisa Busetta - Università di Palermo; Manuela Stranges - Università della Calabria; Cecilia Tomassini - Università del Molise</w:t>
      </w:r>
    </w:p>
  </w:footnote>
  <w:footnote w:id="4">
    <w:p w14:paraId="00D656C9" w14:textId="77777777" w:rsidR="002E7CF6" w:rsidRPr="00272CED" w:rsidRDefault="002E7CF6">
      <w:pPr>
        <w:pStyle w:val="Testonotaapidipagina"/>
      </w:pPr>
      <w:r w:rsidRPr="00272CED">
        <w:rPr>
          <w:rStyle w:val="Rimandonotaapidipagina"/>
        </w:rPr>
        <w:footnoteRef/>
      </w:r>
      <w:r w:rsidRPr="00272CED">
        <w:t xml:space="preserve"> </w:t>
      </w:r>
      <w:r w:rsidRPr="00272CED">
        <w:rPr>
          <w:rFonts w:ascii="Times New Roman" w:eastAsia="Arial Unicode MS" w:hAnsi="Times New Roman" w:cs="Arial Unicode MS"/>
          <w:kern w:val="2"/>
          <w:u w:color="00000A"/>
          <w:bdr w:val="nil"/>
        </w:rPr>
        <w:t>Fuà, 1983.</w:t>
      </w:r>
    </w:p>
  </w:footnote>
  <w:footnote w:id="5">
    <w:p w14:paraId="39CC08A1" w14:textId="77777777" w:rsidR="002E7CF6" w:rsidRPr="00272CED" w:rsidRDefault="002E7CF6">
      <w:pPr>
        <w:pStyle w:val="Testonotaapidipagina"/>
      </w:pPr>
      <w:r w:rsidRPr="00272CED">
        <w:rPr>
          <w:rStyle w:val="Rimandonotaapidipagina"/>
        </w:rPr>
        <w:footnoteRef/>
      </w:r>
      <w:r w:rsidRPr="00272CED">
        <w:t xml:space="preserve"> </w:t>
      </w:r>
      <w:r w:rsidRPr="00272CED">
        <w:rPr>
          <w:rFonts w:ascii="Times New Roman" w:eastAsia="Arial Unicode MS" w:hAnsi="Times New Roman" w:cs="Arial Unicode MS"/>
          <w:kern w:val="2"/>
          <w:u w:color="00000A"/>
          <w:bdr w:val="nil"/>
        </w:rPr>
        <w:t>Indovina, 1990</w:t>
      </w:r>
    </w:p>
  </w:footnote>
  <w:footnote w:id="6">
    <w:p w14:paraId="6373D763" w14:textId="77777777" w:rsidR="002E7CF6" w:rsidRDefault="002E7CF6">
      <w:pPr>
        <w:pStyle w:val="Testonotaapidipagina"/>
      </w:pPr>
      <w:r w:rsidRPr="00272CED">
        <w:rPr>
          <w:rStyle w:val="Rimandonotaapidipagina"/>
        </w:rPr>
        <w:footnoteRef/>
      </w:r>
      <w:r w:rsidRPr="00272CED">
        <w:t xml:space="preserve"> </w:t>
      </w:r>
      <w:r w:rsidRPr="00272CED">
        <w:rPr>
          <w:rFonts w:ascii="Times New Roman" w:eastAsia="Arial Unicode MS" w:hAnsi="Times New Roman" w:cs="Arial Unicode MS"/>
          <w:kern w:val="2"/>
          <w:u w:color="00000A"/>
          <w:bdr w:val="nil"/>
        </w:rPr>
        <w:t>Marika Fior, POLIMI</w:t>
      </w:r>
    </w:p>
  </w:footnote>
  <w:footnote w:id="7">
    <w:p w14:paraId="6E1AE088" w14:textId="77777777" w:rsidR="002E7CF6" w:rsidRDefault="002E7CF6">
      <w:pPr>
        <w:pStyle w:val="Testonotaapidipagina"/>
      </w:pPr>
      <w:r>
        <w:rPr>
          <w:rStyle w:val="Rimandonotaapidipagina"/>
        </w:rPr>
        <w:footnoteRef/>
      </w:r>
      <w:r>
        <w:t xml:space="preserve"> </w:t>
      </w:r>
      <w:r w:rsidRPr="00D92D5E">
        <w:rPr>
          <w:rFonts w:ascii="Times New Roman" w:eastAsia="Arial Unicode MS" w:hAnsi="Times New Roman" w:cs="Arial Unicode MS"/>
          <w:kern w:val="2"/>
          <w:u w:color="00000A"/>
          <w:bdr w:val="nil"/>
        </w:rPr>
        <w:t>Marika Fior POLIMI</w:t>
      </w:r>
    </w:p>
  </w:footnote>
  <w:footnote w:id="8">
    <w:p w14:paraId="1824AD02" w14:textId="77777777" w:rsidR="002E7CF6" w:rsidRPr="002E4472" w:rsidRDefault="002E7CF6" w:rsidP="002E4472">
      <w:pPr>
        <w:pStyle w:val="CorpoA"/>
        <w:jc w:val="both"/>
        <w:rPr>
          <w:lang w:val="it-IT"/>
        </w:rPr>
      </w:pPr>
      <w:r>
        <w:rPr>
          <w:rStyle w:val="Rimandonotaapidipagina"/>
        </w:rPr>
        <w:footnoteRef/>
      </w:r>
      <w:r w:rsidRPr="002E4472">
        <w:rPr>
          <w:lang w:val="it-IT"/>
        </w:rPr>
        <w:t xml:space="preserve"> </w:t>
      </w:r>
      <w:r w:rsidRPr="002E4472">
        <w:rPr>
          <w:color w:val="auto"/>
          <w:sz w:val="20"/>
          <w:szCs w:val="20"/>
          <w:lang w:val="it-IT"/>
        </w:rPr>
        <w:t>I comuni umbri dell’area nel 2015 hanno registrato circa 50 arrivi per abitante a fronte di una media regionale inferiore a 3; nei comuni marchigiani, laziali e abruzzesi il numero di arrivi per abitante era molto più basso e inferiore a quello della rispettiva media regionale: 0,8 contro 1,5 per le Marche, 0,5 contro 1,9 per il Lazio, 0,4 contro 1,1 per l’Abruzzo. Un quarto delle presenze registrate nel cratere era costituito da clientela estera, 20 punti inferiore al complesso delle regioni, una differenza attribuibile soprattutto al Lazio (11% contro 62%), in misura minore all’Umbria (23% contro 37%); l’incidenza dei visitatori stranieri era superiore alla media regionale per i comuni marchigiani (29% contro 19%) e abruzzesi (16% contro 13%) (Raffaello Bronzini - Banca d’Italia; Alessandra Faggian, Marco Modica - Gran Sasso Science Institute).</w:t>
      </w:r>
    </w:p>
  </w:footnote>
  <w:footnote w:id="9">
    <w:p w14:paraId="520DD2E8" w14:textId="77777777" w:rsidR="002E7CF6" w:rsidRPr="007346D3" w:rsidRDefault="002E7CF6" w:rsidP="00665894">
      <w:pPr>
        <w:pStyle w:val="CorpoA"/>
        <w:jc w:val="both"/>
        <w:rPr>
          <w:lang w:val="it-IT"/>
        </w:rPr>
      </w:pPr>
      <w:r>
        <w:rPr>
          <w:rStyle w:val="Rimandonotaapidipagina"/>
        </w:rPr>
        <w:footnoteRef/>
      </w:r>
      <w:r w:rsidRPr="007346D3">
        <w:rPr>
          <w:lang w:val="it-IT"/>
        </w:rPr>
        <w:t xml:space="preserve"> </w:t>
      </w:r>
      <w:r w:rsidRPr="007346D3">
        <w:rPr>
          <w:sz w:val="20"/>
          <w:szCs w:val="20"/>
          <w:lang w:val="it-IT"/>
        </w:rPr>
        <w:t xml:space="preserve">Documento di </w:t>
      </w:r>
      <w:r w:rsidRPr="00665894">
        <w:rPr>
          <w:color w:val="auto"/>
          <w:sz w:val="20"/>
          <w:szCs w:val="20"/>
          <w:lang w:val="it-IT"/>
        </w:rPr>
        <w:t>accompagnamento</w:t>
      </w:r>
      <w:r w:rsidRPr="007346D3">
        <w:rPr>
          <w:sz w:val="20"/>
          <w:szCs w:val="20"/>
          <w:lang w:val="it-IT"/>
        </w:rPr>
        <w:t xml:space="preserve"> all’audizione del Capo della Protezione Civile del 9 giugno 2020 in materia di ricostruzione nelle aree colpite da eventi sismici - Commissione Ambiente, Territorio e Lavori Pubblici della Camera dei deputati.</w:t>
      </w:r>
      <w:r w:rsidRPr="007346D3">
        <w:rPr>
          <w:rFonts w:ascii="BookmanOldStyle" w:hAnsi="BookmanOldStyle"/>
          <w:sz w:val="68"/>
          <w:szCs w:val="68"/>
          <w:lang w:val="it-IT"/>
        </w:rPr>
        <w:t xml:space="preserve"> </w:t>
      </w:r>
    </w:p>
    <w:p w14:paraId="7760FC6C" w14:textId="77777777" w:rsidR="002E7CF6" w:rsidRDefault="002E7CF6" w:rsidP="000E3A8B">
      <w:pPr>
        <w:pStyle w:val="NormaleWeb"/>
        <w:jc w:val="both"/>
      </w:pPr>
      <w:r>
        <w:rPr>
          <w:rFonts w:ascii="BookmanOldStyle" w:hAnsi="BookmanOldStyle"/>
          <w:i/>
          <w:iCs/>
          <w:sz w:val="32"/>
          <w:szCs w:val="32"/>
        </w:rPr>
        <w:t xml:space="preserve"> </w:t>
      </w:r>
    </w:p>
    <w:p w14:paraId="5EC0BBE2" w14:textId="77777777" w:rsidR="002E7CF6" w:rsidRDefault="002E7CF6">
      <w:pPr>
        <w:pStyle w:val="Testonotaapidipagina"/>
      </w:pPr>
    </w:p>
  </w:footnote>
  <w:footnote w:id="10">
    <w:p w14:paraId="22F4C8A9" w14:textId="77777777" w:rsidR="002E7CF6" w:rsidRDefault="002E7CF6" w:rsidP="000E3A8B">
      <w:pPr>
        <w:pStyle w:val="Testonotaapidipagina"/>
        <w:jc w:val="both"/>
      </w:pPr>
      <w:r>
        <w:rPr>
          <w:rStyle w:val="Rimandonotaapidipagina"/>
        </w:rPr>
        <w:footnoteRef/>
      </w:r>
      <w:r>
        <w:t xml:space="preserve"> </w:t>
      </w:r>
      <w:r w:rsidRPr="00F87476">
        <w:rPr>
          <w:rFonts w:ascii="Times New Roman" w:hAnsi="Times New Roman" w:cs="Times New Roman"/>
        </w:rPr>
        <w:t>I prodotti di qualità, con caratteri specifici del territorio, ci sono e sono diversi: lo zafferano, le lenticchie, i ceci, l’olio, il vino, il miele, i salumi, il grano solina, le mele, i formaggi, il tartufo, ecc.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i/>
        <w:iCs/>
        <w:color w:val="4472C4" w:themeColor="accent1"/>
        <w:sz w:val="20"/>
        <w:szCs w:val="20"/>
        <w:lang w:val="it-IT"/>
      </w:rPr>
      <w:alias w:val="Titolo"/>
      <w:tag w:val=""/>
      <w:id w:val="-22099357"/>
      <w:placeholder>
        <w:docPart w:val="B4A46A321A713140A9CB94421FEF0186"/>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56B95A3" w14:textId="77777777" w:rsidR="002E7CF6" w:rsidRPr="003E2E62" w:rsidRDefault="002E7CF6" w:rsidP="00B45F9C">
        <w:pPr>
          <w:pStyle w:val="Nessunaspaziatura"/>
          <w:spacing w:after="240" w:line="264" w:lineRule="auto"/>
          <w:rPr>
            <w:b/>
            <w:bCs/>
            <w:i/>
            <w:iCs/>
            <w:color w:val="4472C4" w:themeColor="accent1"/>
            <w:sz w:val="20"/>
            <w:szCs w:val="20"/>
            <w:lang w:val="it-IT"/>
          </w:rPr>
        </w:pPr>
        <w:r w:rsidRPr="003E2E62">
          <w:rPr>
            <w:b/>
            <w:bCs/>
            <w:i/>
            <w:iCs/>
            <w:color w:val="4472C4" w:themeColor="accent1"/>
            <w:sz w:val="20"/>
            <w:szCs w:val="20"/>
            <w:lang w:val="it-IT"/>
          </w:rPr>
          <w:t xml:space="preserve">PIANO NAZIONALE DI RIPRESA E RESILIENZA – FONDO COMPLEMENTARE                                                          Programma unitario di intervento </w:t>
        </w:r>
        <w:r>
          <w:rPr>
            <w:b/>
            <w:bCs/>
            <w:i/>
            <w:iCs/>
            <w:color w:val="4472C4" w:themeColor="accent1"/>
            <w:sz w:val="20"/>
            <w:szCs w:val="20"/>
            <w:lang w:val="it-IT"/>
          </w:rPr>
          <w:t>– Interventi per le aree del terremoto del 2009 e 2016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408"/>
    <w:multiLevelType w:val="hybridMultilevel"/>
    <w:tmpl w:val="02B2D862"/>
    <w:lvl w:ilvl="0" w:tplc="B636D9D8">
      <w:start w:val="1"/>
      <w:numFmt w:val="lowerRoman"/>
      <w:lvlText w:val="%1)"/>
      <w:lvlJc w:val="left"/>
      <w:pPr>
        <w:ind w:left="1788" w:hanging="720"/>
      </w:pPr>
      <w:rPr>
        <w:rFonts w:hint="default"/>
      </w:rPr>
    </w:lvl>
    <w:lvl w:ilvl="1" w:tplc="B70858D8">
      <w:numFmt w:val="bullet"/>
      <w:lvlText w:val="•"/>
      <w:lvlJc w:val="left"/>
      <w:pPr>
        <w:ind w:left="2488" w:hanging="700"/>
      </w:pPr>
      <w:rPr>
        <w:rFonts w:ascii="Times New Roman" w:eastAsia="PMingLiU" w:hAnsi="Times New Roman" w:cs="Times New Roman" w:hint="default"/>
      </w:rPr>
    </w:lvl>
    <w:lvl w:ilvl="2" w:tplc="0410000F">
      <w:start w:val="1"/>
      <w:numFmt w:val="decimal"/>
      <w:lvlText w:val="%3."/>
      <w:lvlJc w:val="left"/>
      <w:pPr>
        <w:ind w:left="720" w:hanging="360"/>
      </w:pPr>
      <w:rPr>
        <w:rFonts w:hint="default"/>
      </w:r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16EE4DF0"/>
    <w:multiLevelType w:val="hybridMultilevel"/>
    <w:tmpl w:val="879E1F4E"/>
    <w:styleLink w:val="Numerato"/>
    <w:lvl w:ilvl="0" w:tplc="51C66EB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E900512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2402DB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A30C51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D1D4598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1D25CC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2509C3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FBFC959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7B2E224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41102E"/>
    <w:multiLevelType w:val="multilevel"/>
    <w:tmpl w:val="D41A819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E8452F5"/>
    <w:multiLevelType w:val="multilevel"/>
    <w:tmpl w:val="709CA132"/>
    <w:lvl w:ilvl="0">
      <w:start w:val="2"/>
      <w:numFmt w:val="decimal"/>
      <w:lvlText w:val="%1"/>
      <w:lvlJc w:val="left"/>
      <w:pPr>
        <w:ind w:left="360" w:hanging="360"/>
      </w:pPr>
      <w:rPr>
        <w:rFonts w:ascii="Times New Roman" w:hAnsi="Times New Roman" w:hint="default"/>
        <w:b/>
        <w:color w:val="4472C4" w:themeColor="accent1"/>
        <w:sz w:val="24"/>
      </w:rPr>
    </w:lvl>
    <w:lvl w:ilvl="1">
      <w:start w:val="1"/>
      <w:numFmt w:val="decimal"/>
      <w:lvlText w:val="%1.%2"/>
      <w:lvlJc w:val="left"/>
      <w:pPr>
        <w:ind w:left="1080" w:hanging="360"/>
      </w:pPr>
      <w:rPr>
        <w:rFonts w:ascii="Times New Roman" w:hAnsi="Times New Roman" w:hint="default"/>
        <w:b/>
        <w:i/>
        <w:iCs w:val="0"/>
        <w:color w:val="4472C4" w:themeColor="accent1"/>
        <w:sz w:val="24"/>
      </w:rPr>
    </w:lvl>
    <w:lvl w:ilvl="2">
      <w:start w:val="1"/>
      <w:numFmt w:val="upperLetter"/>
      <w:lvlText w:val="%1.%2.%3"/>
      <w:lvlJc w:val="left"/>
      <w:pPr>
        <w:ind w:left="2160" w:hanging="720"/>
      </w:pPr>
      <w:rPr>
        <w:rFonts w:ascii="Times New Roman" w:hAnsi="Times New Roman" w:hint="default"/>
        <w:b/>
        <w:color w:val="4472C4" w:themeColor="accent1"/>
        <w:sz w:val="24"/>
      </w:rPr>
    </w:lvl>
    <w:lvl w:ilvl="3">
      <w:start w:val="1"/>
      <w:numFmt w:val="upperLetter"/>
      <w:lvlText w:val="%1.%2.%3.%4"/>
      <w:lvlJc w:val="left"/>
      <w:pPr>
        <w:ind w:left="2880" w:hanging="720"/>
      </w:pPr>
      <w:rPr>
        <w:rFonts w:ascii="Times New Roman" w:hAnsi="Times New Roman" w:hint="default"/>
        <w:b/>
        <w:color w:val="4472C4" w:themeColor="accent1"/>
        <w:sz w:val="24"/>
      </w:rPr>
    </w:lvl>
    <w:lvl w:ilvl="4">
      <w:start w:val="1"/>
      <w:numFmt w:val="decimal"/>
      <w:lvlText w:val="%1.%2.%3.%4.%5"/>
      <w:lvlJc w:val="left"/>
      <w:pPr>
        <w:ind w:left="3600" w:hanging="720"/>
      </w:pPr>
      <w:rPr>
        <w:rFonts w:ascii="Times New Roman" w:hAnsi="Times New Roman" w:hint="default"/>
        <w:b/>
        <w:color w:val="4472C4" w:themeColor="accent1"/>
        <w:sz w:val="24"/>
      </w:rPr>
    </w:lvl>
    <w:lvl w:ilvl="5">
      <w:start w:val="1"/>
      <w:numFmt w:val="decimal"/>
      <w:lvlText w:val="%1.%2.%3.%4.%5.%6"/>
      <w:lvlJc w:val="left"/>
      <w:pPr>
        <w:ind w:left="4680" w:hanging="1080"/>
      </w:pPr>
      <w:rPr>
        <w:rFonts w:ascii="Times New Roman" w:hAnsi="Times New Roman" w:hint="default"/>
        <w:b/>
        <w:color w:val="4472C4" w:themeColor="accent1"/>
        <w:sz w:val="24"/>
      </w:rPr>
    </w:lvl>
    <w:lvl w:ilvl="6">
      <w:start w:val="1"/>
      <w:numFmt w:val="decimal"/>
      <w:lvlText w:val="%1.%2.%3.%4.%5.%6.%7"/>
      <w:lvlJc w:val="left"/>
      <w:pPr>
        <w:ind w:left="5400" w:hanging="1080"/>
      </w:pPr>
      <w:rPr>
        <w:rFonts w:ascii="Times New Roman" w:hAnsi="Times New Roman" w:hint="default"/>
        <w:b/>
        <w:color w:val="4472C4" w:themeColor="accent1"/>
        <w:sz w:val="24"/>
      </w:rPr>
    </w:lvl>
    <w:lvl w:ilvl="7">
      <w:start w:val="1"/>
      <w:numFmt w:val="decimal"/>
      <w:lvlText w:val="%1.%2.%3.%4.%5.%6.%7.%8"/>
      <w:lvlJc w:val="left"/>
      <w:pPr>
        <w:ind w:left="6480" w:hanging="1440"/>
      </w:pPr>
      <w:rPr>
        <w:rFonts w:ascii="Times New Roman" w:hAnsi="Times New Roman" w:hint="default"/>
        <w:b/>
        <w:color w:val="4472C4" w:themeColor="accent1"/>
        <w:sz w:val="24"/>
      </w:rPr>
    </w:lvl>
    <w:lvl w:ilvl="8">
      <w:start w:val="1"/>
      <w:numFmt w:val="decimal"/>
      <w:lvlText w:val="%1.%2.%3.%4.%5.%6.%7.%8.%9"/>
      <w:lvlJc w:val="left"/>
      <w:pPr>
        <w:ind w:left="7200" w:hanging="1440"/>
      </w:pPr>
      <w:rPr>
        <w:rFonts w:ascii="Times New Roman" w:hAnsi="Times New Roman" w:hint="default"/>
        <w:b/>
        <w:color w:val="4472C4" w:themeColor="accent1"/>
        <w:sz w:val="24"/>
      </w:rPr>
    </w:lvl>
  </w:abstractNum>
  <w:abstractNum w:abstractNumId="4" w15:restartNumberingAfterBreak="0">
    <w:nsid w:val="1FBE0122"/>
    <w:multiLevelType w:val="hybridMultilevel"/>
    <w:tmpl w:val="3E105C22"/>
    <w:lvl w:ilvl="0" w:tplc="2B62A4A8">
      <w:numFmt w:val="bullet"/>
      <w:lvlText w:val="-"/>
      <w:lvlJc w:val="left"/>
      <w:pPr>
        <w:ind w:left="1068" w:hanging="360"/>
      </w:pPr>
      <w:rPr>
        <w:rFonts w:ascii="Times New Roman" w:eastAsia="Arial Unicode MS"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233B4EA6"/>
    <w:multiLevelType w:val="multilevel"/>
    <w:tmpl w:val="DD386DB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E6819B5"/>
    <w:multiLevelType w:val="hybridMultilevel"/>
    <w:tmpl w:val="1A0A77E8"/>
    <w:lvl w:ilvl="0" w:tplc="6C988C50">
      <w:start w:val="1"/>
      <w:numFmt w:val="bullet"/>
      <w:lvlText w:val=""/>
      <w:lvlJc w:val="left"/>
      <w:pPr>
        <w:ind w:left="1798" w:hanging="360"/>
      </w:pPr>
      <w:rPr>
        <w:rFonts w:ascii="Wingdings" w:hAnsi="Wingdings" w:cs="Wingdings" w:hint="default"/>
        <w:color w:val="4472C4" w:themeColor="accent1"/>
      </w:rPr>
    </w:lvl>
    <w:lvl w:ilvl="1" w:tplc="04100003" w:tentative="1">
      <w:start w:val="1"/>
      <w:numFmt w:val="bullet"/>
      <w:lvlText w:val="o"/>
      <w:lvlJc w:val="left"/>
      <w:pPr>
        <w:ind w:left="2518" w:hanging="360"/>
      </w:pPr>
      <w:rPr>
        <w:rFonts w:ascii="Courier New" w:hAnsi="Courier New" w:cs="Courier New" w:hint="default"/>
      </w:rPr>
    </w:lvl>
    <w:lvl w:ilvl="2" w:tplc="04100005" w:tentative="1">
      <w:start w:val="1"/>
      <w:numFmt w:val="bullet"/>
      <w:lvlText w:val=""/>
      <w:lvlJc w:val="left"/>
      <w:pPr>
        <w:ind w:left="3238" w:hanging="360"/>
      </w:pPr>
      <w:rPr>
        <w:rFonts w:ascii="Wingdings" w:hAnsi="Wingdings" w:hint="default"/>
      </w:rPr>
    </w:lvl>
    <w:lvl w:ilvl="3" w:tplc="04100001" w:tentative="1">
      <w:start w:val="1"/>
      <w:numFmt w:val="bullet"/>
      <w:lvlText w:val=""/>
      <w:lvlJc w:val="left"/>
      <w:pPr>
        <w:ind w:left="3958" w:hanging="360"/>
      </w:pPr>
      <w:rPr>
        <w:rFonts w:ascii="Symbol" w:hAnsi="Symbol" w:hint="default"/>
      </w:rPr>
    </w:lvl>
    <w:lvl w:ilvl="4" w:tplc="04100003" w:tentative="1">
      <w:start w:val="1"/>
      <w:numFmt w:val="bullet"/>
      <w:lvlText w:val="o"/>
      <w:lvlJc w:val="left"/>
      <w:pPr>
        <w:ind w:left="4678" w:hanging="360"/>
      </w:pPr>
      <w:rPr>
        <w:rFonts w:ascii="Courier New" w:hAnsi="Courier New" w:cs="Courier New" w:hint="default"/>
      </w:rPr>
    </w:lvl>
    <w:lvl w:ilvl="5" w:tplc="04100005" w:tentative="1">
      <w:start w:val="1"/>
      <w:numFmt w:val="bullet"/>
      <w:lvlText w:val=""/>
      <w:lvlJc w:val="left"/>
      <w:pPr>
        <w:ind w:left="5398" w:hanging="360"/>
      </w:pPr>
      <w:rPr>
        <w:rFonts w:ascii="Wingdings" w:hAnsi="Wingdings" w:hint="default"/>
      </w:rPr>
    </w:lvl>
    <w:lvl w:ilvl="6" w:tplc="04100001" w:tentative="1">
      <w:start w:val="1"/>
      <w:numFmt w:val="bullet"/>
      <w:lvlText w:val=""/>
      <w:lvlJc w:val="left"/>
      <w:pPr>
        <w:ind w:left="6118" w:hanging="360"/>
      </w:pPr>
      <w:rPr>
        <w:rFonts w:ascii="Symbol" w:hAnsi="Symbol" w:hint="default"/>
      </w:rPr>
    </w:lvl>
    <w:lvl w:ilvl="7" w:tplc="04100003" w:tentative="1">
      <w:start w:val="1"/>
      <w:numFmt w:val="bullet"/>
      <w:lvlText w:val="o"/>
      <w:lvlJc w:val="left"/>
      <w:pPr>
        <w:ind w:left="6838" w:hanging="360"/>
      </w:pPr>
      <w:rPr>
        <w:rFonts w:ascii="Courier New" w:hAnsi="Courier New" w:cs="Courier New" w:hint="default"/>
      </w:rPr>
    </w:lvl>
    <w:lvl w:ilvl="8" w:tplc="04100005" w:tentative="1">
      <w:start w:val="1"/>
      <w:numFmt w:val="bullet"/>
      <w:lvlText w:val=""/>
      <w:lvlJc w:val="left"/>
      <w:pPr>
        <w:ind w:left="7558" w:hanging="360"/>
      </w:pPr>
      <w:rPr>
        <w:rFonts w:ascii="Wingdings" w:hAnsi="Wingdings" w:hint="default"/>
      </w:rPr>
    </w:lvl>
  </w:abstractNum>
  <w:abstractNum w:abstractNumId="7" w15:restartNumberingAfterBreak="0">
    <w:nsid w:val="339D486B"/>
    <w:multiLevelType w:val="hybridMultilevel"/>
    <w:tmpl w:val="8BB4EC2A"/>
    <w:lvl w:ilvl="0" w:tplc="E0D86880">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7A31BB3"/>
    <w:multiLevelType w:val="hybridMultilevel"/>
    <w:tmpl w:val="A5568868"/>
    <w:lvl w:ilvl="0" w:tplc="595484B6">
      <w:start w:val="1"/>
      <w:numFmt w:val="low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393600F2"/>
    <w:multiLevelType w:val="multilevel"/>
    <w:tmpl w:val="C7823E0C"/>
    <w:lvl w:ilvl="0">
      <w:start w:val="3"/>
      <w:numFmt w:val="decimal"/>
      <w:lvlText w:val="%1"/>
      <w:lvlJc w:val="left"/>
      <w:pPr>
        <w:ind w:left="360" w:hanging="360"/>
      </w:pPr>
      <w:rPr>
        <w:rFonts w:ascii="Times New Roman" w:hAnsi="Times New Roman" w:hint="default"/>
        <w:b/>
        <w:color w:val="4472C4" w:themeColor="accent1"/>
        <w:sz w:val="24"/>
      </w:rPr>
    </w:lvl>
    <w:lvl w:ilvl="1">
      <w:start w:val="1"/>
      <w:numFmt w:val="decimal"/>
      <w:lvlText w:val="%1.%2"/>
      <w:lvlJc w:val="left"/>
      <w:pPr>
        <w:ind w:left="1080" w:hanging="360"/>
      </w:pPr>
      <w:rPr>
        <w:rFonts w:ascii="Times New Roman" w:hAnsi="Times New Roman" w:hint="default"/>
        <w:b/>
        <w:color w:val="4472C4" w:themeColor="accent1"/>
        <w:sz w:val="24"/>
      </w:rPr>
    </w:lvl>
    <w:lvl w:ilvl="2">
      <w:start w:val="1"/>
      <w:numFmt w:val="decimal"/>
      <w:lvlText w:val="%1.%2.%3"/>
      <w:lvlJc w:val="left"/>
      <w:pPr>
        <w:ind w:left="2160" w:hanging="720"/>
      </w:pPr>
      <w:rPr>
        <w:rFonts w:ascii="Times New Roman" w:hAnsi="Times New Roman" w:hint="default"/>
        <w:b/>
        <w:color w:val="4472C4" w:themeColor="accent1"/>
        <w:sz w:val="24"/>
      </w:rPr>
    </w:lvl>
    <w:lvl w:ilvl="3">
      <w:start w:val="1"/>
      <w:numFmt w:val="decimal"/>
      <w:lvlText w:val="%1.%2.%3.%4"/>
      <w:lvlJc w:val="left"/>
      <w:pPr>
        <w:ind w:left="2880" w:hanging="720"/>
      </w:pPr>
      <w:rPr>
        <w:rFonts w:ascii="Times New Roman" w:hAnsi="Times New Roman" w:hint="default"/>
        <w:b/>
        <w:color w:val="4472C4" w:themeColor="accent1"/>
        <w:sz w:val="24"/>
      </w:rPr>
    </w:lvl>
    <w:lvl w:ilvl="4">
      <w:start w:val="1"/>
      <w:numFmt w:val="decimal"/>
      <w:lvlText w:val="%1.%2.%3.%4.%5"/>
      <w:lvlJc w:val="left"/>
      <w:pPr>
        <w:ind w:left="3600" w:hanging="720"/>
      </w:pPr>
      <w:rPr>
        <w:rFonts w:ascii="Times New Roman" w:hAnsi="Times New Roman" w:hint="default"/>
        <w:b/>
        <w:color w:val="4472C4" w:themeColor="accent1"/>
        <w:sz w:val="24"/>
      </w:rPr>
    </w:lvl>
    <w:lvl w:ilvl="5">
      <w:start w:val="1"/>
      <w:numFmt w:val="decimal"/>
      <w:lvlText w:val="%1.%2.%3.%4.%5.%6"/>
      <w:lvlJc w:val="left"/>
      <w:pPr>
        <w:ind w:left="4680" w:hanging="1080"/>
      </w:pPr>
      <w:rPr>
        <w:rFonts w:ascii="Times New Roman" w:hAnsi="Times New Roman" w:hint="default"/>
        <w:b/>
        <w:color w:val="4472C4" w:themeColor="accent1"/>
        <w:sz w:val="24"/>
      </w:rPr>
    </w:lvl>
    <w:lvl w:ilvl="6">
      <w:start w:val="1"/>
      <w:numFmt w:val="decimal"/>
      <w:lvlText w:val="%1.%2.%3.%4.%5.%6.%7"/>
      <w:lvlJc w:val="left"/>
      <w:pPr>
        <w:ind w:left="5400" w:hanging="1080"/>
      </w:pPr>
      <w:rPr>
        <w:rFonts w:ascii="Times New Roman" w:hAnsi="Times New Roman" w:hint="default"/>
        <w:b/>
        <w:color w:val="4472C4" w:themeColor="accent1"/>
        <w:sz w:val="24"/>
      </w:rPr>
    </w:lvl>
    <w:lvl w:ilvl="7">
      <w:start w:val="1"/>
      <w:numFmt w:val="decimal"/>
      <w:lvlText w:val="%1.%2.%3.%4.%5.%6.%7.%8"/>
      <w:lvlJc w:val="left"/>
      <w:pPr>
        <w:ind w:left="6480" w:hanging="1440"/>
      </w:pPr>
      <w:rPr>
        <w:rFonts w:ascii="Times New Roman" w:hAnsi="Times New Roman" w:hint="default"/>
        <w:b/>
        <w:color w:val="4472C4" w:themeColor="accent1"/>
        <w:sz w:val="24"/>
      </w:rPr>
    </w:lvl>
    <w:lvl w:ilvl="8">
      <w:start w:val="1"/>
      <w:numFmt w:val="decimal"/>
      <w:lvlText w:val="%1.%2.%3.%4.%5.%6.%7.%8.%9"/>
      <w:lvlJc w:val="left"/>
      <w:pPr>
        <w:ind w:left="7200" w:hanging="1440"/>
      </w:pPr>
      <w:rPr>
        <w:rFonts w:ascii="Times New Roman" w:hAnsi="Times New Roman" w:hint="default"/>
        <w:b/>
        <w:color w:val="4472C4" w:themeColor="accent1"/>
        <w:sz w:val="24"/>
      </w:rPr>
    </w:lvl>
  </w:abstractNum>
  <w:abstractNum w:abstractNumId="10" w15:restartNumberingAfterBreak="0">
    <w:nsid w:val="42725A62"/>
    <w:multiLevelType w:val="hybridMultilevel"/>
    <w:tmpl w:val="5DF4E160"/>
    <w:lvl w:ilvl="0" w:tplc="04100003">
      <w:start w:val="1"/>
      <w:numFmt w:val="bullet"/>
      <w:lvlText w:val="o"/>
      <w:lvlJc w:val="left"/>
      <w:pPr>
        <w:ind w:left="72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C90403A">
      <w:start w:val="1"/>
      <w:numFmt w:val="bullet"/>
      <w:lvlText w:val="-"/>
      <w:lvlJc w:val="left"/>
      <w:pPr>
        <w:ind w:left="209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3F89984">
      <w:start w:val="1"/>
      <w:numFmt w:val="bullet"/>
      <w:lvlText w:val="-"/>
      <w:lvlJc w:val="left"/>
      <w:pPr>
        <w:ind w:left="269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9FE9BB6">
      <w:start w:val="1"/>
      <w:numFmt w:val="bullet"/>
      <w:lvlText w:val="-"/>
      <w:lvlJc w:val="left"/>
      <w:pPr>
        <w:ind w:left="329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37A16BC">
      <w:start w:val="1"/>
      <w:numFmt w:val="bullet"/>
      <w:lvlText w:val="-"/>
      <w:lvlJc w:val="left"/>
      <w:pPr>
        <w:ind w:left="389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87ED754">
      <w:start w:val="1"/>
      <w:numFmt w:val="bullet"/>
      <w:lvlText w:val="-"/>
      <w:lvlJc w:val="left"/>
      <w:pPr>
        <w:ind w:left="449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4A28F38">
      <w:start w:val="1"/>
      <w:numFmt w:val="bullet"/>
      <w:lvlText w:val="-"/>
      <w:lvlJc w:val="left"/>
      <w:pPr>
        <w:ind w:left="509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3D64896">
      <w:start w:val="1"/>
      <w:numFmt w:val="bullet"/>
      <w:lvlText w:val="-"/>
      <w:lvlJc w:val="left"/>
      <w:pPr>
        <w:ind w:left="569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66469A">
      <w:start w:val="1"/>
      <w:numFmt w:val="bullet"/>
      <w:lvlText w:val="-"/>
      <w:lvlJc w:val="left"/>
      <w:pPr>
        <w:ind w:left="629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B332478"/>
    <w:multiLevelType w:val="hybridMultilevel"/>
    <w:tmpl w:val="AEB027E2"/>
    <w:styleLink w:val="Stileimportato1"/>
    <w:lvl w:ilvl="0" w:tplc="5A9ECAD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B685AB4">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left" w:pos="9132"/>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CD0E29C">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640"/>
          <w:tab w:val="left" w:pos="9132"/>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E465AB8">
      <w:start w:val="1"/>
      <w:numFmt w:val="bullet"/>
      <w:lvlText w:val="•"/>
      <w:lvlJc w:val="left"/>
      <w:pPr>
        <w:tabs>
          <w:tab w:val="left" w:pos="1440"/>
          <w:tab w:val="left" w:pos="2160"/>
          <w:tab w:val="left" w:pos="3600"/>
          <w:tab w:val="left" w:pos="4320"/>
          <w:tab w:val="left" w:pos="5040"/>
          <w:tab w:val="left" w:pos="5760"/>
          <w:tab w:val="left" w:pos="6480"/>
          <w:tab w:val="left" w:pos="7200"/>
          <w:tab w:val="left" w:pos="7920"/>
          <w:tab w:val="left" w:pos="8640"/>
          <w:tab w:val="left" w:pos="9132"/>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8BC70CC">
      <w:start w:val="1"/>
      <w:numFmt w:val="bullet"/>
      <w:lvlText w:val="o"/>
      <w:lvlJc w:val="left"/>
      <w:pPr>
        <w:tabs>
          <w:tab w:val="left" w:pos="1440"/>
          <w:tab w:val="left" w:pos="2160"/>
          <w:tab w:val="left" w:pos="2880"/>
          <w:tab w:val="left" w:pos="4320"/>
          <w:tab w:val="left" w:pos="5040"/>
          <w:tab w:val="left" w:pos="5760"/>
          <w:tab w:val="left" w:pos="6480"/>
          <w:tab w:val="left" w:pos="7200"/>
          <w:tab w:val="left" w:pos="7920"/>
          <w:tab w:val="left" w:pos="8640"/>
          <w:tab w:val="left" w:pos="9132"/>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DD4239A">
      <w:start w:val="1"/>
      <w:numFmt w:val="bullet"/>
      <w:lvlText w:val="▪"/>
      <w:lvlJc w:val="left"/>
      <w:pPr>
        <w:tabs>
          <w:tab w:val="left" w:pos="1440"/>
          <w:tab w:val="left" w:pos="2160"/>
          <w:tab w:val="left" w:pos="2880"/>
          <w:tab w:val="left" w:pos="3600"/>
          <w:tab w:val="left" w:pos="5040"/>
          <w:tab w:val="left" w:pos="5760"/>
          <w:tab w:val="left" w:pos="6480"/>
          <w:tab w:val="left" w:pos="7200"/>
          <w:tab w:val="left" w:pos="7920"/>
          <w:tab w:val="left" w:pos="8640"/>
          <w:tab w:val="left" w:pos="9132"/>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FEC53B0">
      <w:start w:val="1"/>
      <w:numFmt w:val="bullet"/>
      <w:lvlText w:val="•"/>
      <w:lvlJc w:val="left"/>
      <w:pPr>
        <w:tabs>
          <w:tab w:val="left" w:pos="1440"/>
          <w:tab w:val="left" w:pos="2160"/>
          <w:tab w:val="left" w:pos="2880"/>
          <w:tab w:val="left" w:pos="3600"/>
          <w:tab w:val="left" w:pos="4320"/>
          <w:tab w:val="left" w:pos="5760"/>
          <w:tab w:val="left" w:pos="6480"/>
          <w:tab w:val="left" w:pos="7200"/>
          <w:tab w:val="left" w:pos="7920"/>
          <w:tab w:val="left" w:pos="8640"/>
          <w:tab w:val="left" w:pos="9132"/>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A2A2560">
      <w:start w:val="1"/>
      <w:numFmt w:val="bullet"/>
      <w:lvlText w:val="o"/>
      <w:lvlJc w:val="left"/>
      <w:pPr>
        <w:tabs>
          <w:tab w:val="left" w:pos="1440"/>
          <w:tab w:val="left" w:pos="2160"/>
          <w:tab w:val="left" w:pos="2880"/>
          <w:tab w:val="left" w:pos="3600"/>
          <w:tab w:val="left" w:pos="4320"/>
          <w:tab w:val="left" w:pos="5040"/>
          <w:tab w:val="left" w:pos="6480"/>
          <w:tab w:val="left" w:pos="7200"/>
          <w:tab w:val="left" w:pos="7920"/>
          <w:tab w:val="left" w:pos="8640"/>
          <w:tab w:val="left" w:pos="9132"/>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94CD68">
      <w:start w:val="1"/>
      <w:numFmt w:val="bullet"/>
      <w:lvlText w:val="▪"/>
      <w:lvlJc w:val="left"/>
      <w:pPr>
        <w:tabs>
          <w:tab w:val="left" w:pos="1440"/>
          <w:tab w:val="left" w:pos="2160"/>
          <w:tab w:val="left" w:pos="2880"/>
          <w:tab w:val="left" w:pos="3600"/>
          <w:tab w:val="left" w:pos="4320"/>
          <w:tab w:val="left" w:pos="5040"/>
          <w:tab w:val="left" w:pos="5760"/>
          <w:tab w:val="left" w:pos="7200"/>
          <w:tab w:val="left" w:pos="7920"/>
          <w:tab w:val="left" w:pos="8640"/>
          <w:tab w:val="left" w:pos="9132"/>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BA003CB"/>
    <w:multiLevelType w:val="multilevel"/>
    <w:tmpl w:val="FA7E589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i/>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532F0669"/>
    <w:multiLevelType w:val="multilevel"/>
    <w:tmpl w:val="3FA4FEA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9DF774E"/>
    <w:multiLevelType w:val="multilevel"/>
    <w:tmpl w:val="7C3EF8B8"/>
    <w:lvl w:ilvl="0">
      <w:start w:val="3"/>
      <w:numFmt w:val="decimal"/>
      <w:lvlText w:val="%1"/>
      <w:lvlJc w:val="left"/>
      <w:pPr>
        <w:ind w:left="360" w:hanging="360"/>
      </w:pPr>
      <w:rPr>
        <w:rFonts w:ascii="Times New Roman" w:hAnsi="Times New Roman" w:hint="default"/>
        <w:b/>
        <w:color w:val="4472C4" w:themeColor="accent1"/>
        <w:sz w:val="24"/>
      </w:rPr>
    </w:lvl>
    <w:lvl w:ilvl="1">
      <w:start w:val="1"/>
      <w:numFmt w:val="decimal"/>
      <w:lvlText w:val="%1.%2"/>
      <w:lvlJc w:val="left"/>
      <w:pPr>
        <w:ind w:left="1440" w:hanging="360"/>
      </w:pPr>
      <w:rPr>
        <w:rFonts w:ascii="Times New Roman" w:hAnsi="Times New Roman" w:hint="default"/>
        <w:b/>
        <w:color w:val="4472C4" w:themeColor="accent1"/>
        <w:sz w:val="24"/>
      </w:rPr>
    </w:lvl>
    <w:lvl w:ilvl="2">
      <w:start w:val="1"/>
      <w:numFmt w:val="decimal"/>
      <w:lvlText w:val="%1.%2.%3"/>
      <w:lvlJc w:val="left"/>
      <w:pPr>
        <w:ind w:left="2880" w:hanging="720"/>
      </w:pPr>
      <w:rPr>
        <w:rFonts w:ascii="Times New Roman" w:hAnsi="Times New Roman" w:hint="default"/>
        <w:b/>
        <w:color w:val="4472C4" w:themeColor="accent1"/>
        <w:sz w:val="24"/>
      </w:rPr>
    </w:lvl>
    <w:lvl w:ilvl="3">
      <w:start w:val="1"/>
      <w:numFmt w:val="decimal"/>
      <w:lvlText w:val="%1.%2.%3.%4"/>
      <w:lvlJc w:val="left"/>
      <w:pPr>
        <w:ind w:left="3960" w:hanging="720"/>
      </w:pPr>
      <w:rPr>
        <w:rFonts w:ascii="Times New Roman" w:hAnsi="Times New Roman" w:hint="default"/>
        <w:b/>
        <w:color w:val="4472C4" w:themeColor="accent1"/>
        <w:sz w:val="24"/>
      </w:rPr>
    </w:lvl>
    <w:lvl w:ilvl="4">
      <w:start w:val="1"/>
      <w:numFmt w:val="decimal"/>
      <w:lvlText w:val="%1.%2.%3.%4.%5"/>
      <w:lvlJc w:val="left"/>
      <w:pPr>
        <w:ind w:left="5040" w:hanging="720"/>
      </w:pPr>
      <w:rPr>
        <w:rFonts w:ascii="Times New Roman" w:hAnsi="Times New Roman" w:hint="default"/>
        <w:b/>
        <w:color w:val="4472C4" w:themeColor="accent1"/>
        <w:sz w:val="24"/>
      </w:rPr>
    </w:lvl>
    <w:lvl w:ilvl="5">
      <w:start w:val="1"/>
      <w:numFmt w:val="decimal"/>
      <w:lvlText w:val="%1.%2.%3.%4.%5.%6"/>
      <w:lvlJc w:val="left"/>
      <w:pPr>
        <w:ind w:left="6480" w:hanging="1080"/>
      </w:pPr>
      <w:rPr>
        <w:rFonts w:ascii="Times New Roman" w:hAnsi="Times New Roman" w:hint="default"/>
        <w:b/>
        <w:color w:val="4472C4" w:themeColor="accent1"/>
        <w:sz w:val="24"/>
      </w:rPr>
    </w:lvl>
    <w:lvl w:ilvl="6">
      <w:start w:val="1"/>
      <w:numFmt w:val="decimal"/>
      <w:lvlText w:val="%1.%2.%3.%4.%5.%6.%7"/>
      <w:lvlJc w:val="left"/>
      <w:pPr>
        <w:ind w:left="7560" w:hanging="1080"/>
      </w:pPr>
      <w:rPr>
        <w:rFonts w:ascii="Times New Roman" w:hAnsi="Times New Roman" w:hint="default"/>
        <w:b/>
        <w:color w:val="4472C4" w:themeColor="accent1"/>
        <w:sz w:val="24"/>
      </w:rPr>
    </w:lvl>
    <w:lvl w:ilvl="7">
      <w:start w:val="1"/>
      <w:numFmt w:val="decimal"/>
      <w:lvlText w:val="%1.%2.%3.%4.%5.%6.%7.%8"/>
      <w:lvlJc w:val="left"/>
      <w:pPr>
        <w:ind w:left="9000" w:hanging="1440"/>
      </w:pPr>
      <w:rPr>
        <w:rFonts w:ascii="Times New Roman" w:hAnsi="Times New Roman" w:hint="default"/>
        <w:b/>
        <w:color w:val="4472C4" w:themeColor="accent1"/>
        <w:sz w:val="24"/>
      </w:rPr>
    </w:lvl>
    <w:lvl w:ilvl="8">
      <w:start w:val="1"/>
      <w:numFmt w:val="decimal"/>
      <w:lvlText w:val="%1.%2.%3.%4.%5.%6.%7.%8.%9"/>
      <w:lvlJc w:val="left"/>
      <w:pPr>
        <w:ind w:left="10080" w:hanging="1440"/>
      </w:pPr>
      <w:rPr>
        <w:rFonts w:ascii="Times New Roman" w:hAnsi="Times New Roman" w:hint="default"/>
        <w:b/>
        <w:color w:val="4472C4" w:themeColor="accent1"/>
        <w:sz w:val="24"/>
      </w:rPr>
    </w:lvl>
  </w:abstractNum>
  <w:abstractNum w:abstractNumId="15" w15:restartNumberingAfterBreak="0">
    <w:nsid w:val="5EA116AD"/>
    <w:multiLevelType w:val="hybridMultilevel"/>
    <w:tmpl w:val="B80652E6"/>
    <w:lvl w:ilvl="0" w:tplc="8A821846">
      <w:start w:val="1"/>
      <w:numFmt w:val="low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5F394E61"/>
    <w:multiLevelType w:val="multilevel"/>
    <w:tmpl w:val="537E7206"/>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7" w15:restartNumberingAfterBreak="0">
    <w:nsid w:val="6E8B24CB"/>
    <w:multiLevelType w:val="hybridMultilevel"/>
    <w:tmpl w:val="63682230"/>
    <w:lvl w:ilvl="0" w:tplc="7C90403A">
      <w:start w:val="1"/>
      <w:numFmt w:val="bullet"/>
      <w:lvlText w:val="-"/>
      <w:lvlJc w:val="left"/>
      <w:pPr>
        <w:ind w:left="1068"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C90403A">
      <w:start w:val="1"/>
      <w:numFmt w:val="bullet"/>
      <w:lvlText w:val="-"/>
      <w:lvlJc w:val="left"/>
      <w:pPr>
        <w:ind w:left="136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3F89984">
      <w:start w:val="1"/>
      <w:numFmt w:val="bullet"/>
      <w:lvlText w:val="-"/>
      <w:lvlJc w:val="left"/>
      <w:pPr>
        <w:ind w:left="196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9FE9BB6">
      <w:start w:val="1"/>
      <w:numFmt w:val="bullet"/>
      <w:lvlText w:val="-"/>
      <w:lvlJc w:val="left"/>
      <w:pPr>
        <w:ind w:left="256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37A16BC">
      <w:start w:val="1"/>
      <w:numFmt w:val="bullet"/>
      <w:lvlText w:val="-"/>
      <w:lvlJc w:val="left"/>
      <w:pPr>
        <w:ind w:left="316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87ED754">
      <w:start w:val="1"/>
      <w:numFmt w:val="bullet"/>
      <w:lvlText w:val="-"/>
      <w:lvlJc w:val="left"/>
      <w:pPr>
        <w:ind w:left="376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4A28F38">
      <w:start w:val="1"/>
      <w:numFmt w:val="bullet"/>
      <w:lvlText w:val="-"/>
      <w:lvlJc w:val="left"/>
      <w:pPr>
        <w:ind w:left="436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3D64896">
      <w:start w:val="1"/>
      <w:numFmt w:val="bullet"/>
      <w:lvlText w:val="-"/>
      <w:lvlJc w:val="left"/>
      <w:pPr>
        <w:ind w:left="496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66469A">
      <w:start w:val="1"/>
      <w:numFmt w:val="bullet"/>
      <w:lvlText w:val="-"/>
      <w:lvlJc w:val="left"/>
      <w:pPr>
        <w:ind w:left="556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B9C648F"/>
    <w:multiLevelType w:val="hybridMultilevel"/>
    <w:tmpl w:val="23EC85D4"/>
    <w:styleLink w:val="Puntielenco"/>
    <w:lvl w:ilvl="0" w:tplc="84FA118C">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708A338">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A805BC">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94CF38A">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A223F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5966EB4">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50852A">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12C4426">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9642DDE">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8"/>
  </w:num>
  <w:num w:numId="2">
    <w:abstractNumId w:val="1"/>
  </w:num>
  <w:num w:numId="3">
    <w:abstractNumId w:val="11"/>
  </w:num>
  <w:num w:numId="4">
    <w:abstractNumId w:val="15"/>
  </w:num>
  <w:num w:numId="5">
    <w:abstractNumId w:val="10"/>
  </w:num>
  <w:num w:numId="6">
    <w:abstractNumId w:val="7"/>
  </w:num>
  <w:num w:numId="7">
    <w:abstractNumId w:val="8"/>
  </w:num>
  <w:num w:numId="8">
    <w:abstractNumId w:val="17"/>
  </w:num>
  <w:num w:numId="9">
    <w:abstractNumId w:val="0"/>
  </w:num>
  <w:num w:numId="10">
    <w:abstractNumId w:val="3"/>
  </w:num>
  <w:num w:numId="11">
    <w:abstractNumId w:val="13"/>
  </w:num>
  <w:num w:numId="12">
    <w:abstractNumId w:val="6"/>
  </w:num>
  <w:num w:numId="13">
    <w:abstractNumId w:val="12"/>
  </w:num>
  <w:num w:numId="14">
    <w:abstractNumId w:val="4"/>
  </w:num>
  <w:num w:numId="15">
    <w:abstractNumId w:val="5"/>
  </w:num>
  <w:num w:numId="16">
    <w:abstractNumId w:val="16"/>
  </w:num>
  <w:num w:numId="17">
    <w:abstractNumId w:val="2"/>
  </w:num>
  <w:num w:numId="18">
    <w:abstractNumId w:val="9"/>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proofState w:spelling="clean" w:grammar="clean"/>
  <w:trackRevision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D8"/>
    <w:rsid w:val="0000525B"/>
    <w:rsid w:val="000073E9"/>
    <w:rsid w:val="000157C0"/>
    <w:rsid w:val="0001637D"/>
    <w:rsid w:val="0001694E"/>
    <w:rsid w:val="000211AC"/>
    <w:rsid w:val="00024A3A"/>
    <w:rsid w:val="000255D4"/>
    <w:rsid w:val="00027561"/>
    <w:rsid w:val="00027688"/>
    <w:rsid w:val="000309AC"/>
    <w:rsid w:val="00060336"/>
    <w:rsid w:val="00062345"/>
    <w:rsid w:val="0006256F"/>
    <w:rsid w:val="00064020"/>
    <w:rsid w:val="0007022E"/>
    <w:rsid w:val="00071064"/>
    <w:rsid w:val="00073376"/>
    <w:rsid w:val="00084DEA"/>
    <w:rsid w:val="00096E63"/>
    <w:rsid w:val="000A0864"/>
    <w:rsid w:val="000A0F8C"/>
    <w:rsid w:val="000B2C61"/>
    <w:rsid w:val="000B6CF6"/>
    <w:rsid w:val="000C0E5E"/>
    <w:rsid w:val="000C39EB"/>
    <w:rsid w:val="000C6C57"/>
    <w:rsid w:val="000D4E52"/>
    <w:rsid w:val="000D5A54"/>
    <w:rsid w:val="000E058C"/>
    <w:rsid w:val="000E3A8B"/>
    <w:rsid w:val="000F4720"/>
    <w:rsid w:val="000F54B1"/>
    <w:rsid w:val="0010115D"/>
    <w:rsid w:val="00101BA9"/>
    <w:rsid w:val="00103DDF"/>
    <w:rsid w:val="0010578E"/>
    <w:rsid w:val="00107790"/>
    <w:rsid w:val="001104D6"/>
    <w:rsid w:val="00110618"/>
    <w:rsid w:val="00112401"/>
    <w:rsid w:val="00112B6B"/>
    <w:rsid w:val="001216AF"/>
    <w:rsid w:val="0012316B"/>
    <w:rsid w:val="00123F85"/>
    <w:rsid w:val="00127158"/>
    <w:rsid w:val="00130419"/>
    <w:rsid w:val="0013143D"/>
    <w:rsid w:val="00131A1F"/>
    <w:rsid w:val="00143D8E"/>
    <w:rsid w:val="001544F1"/>
    <w:rsid w:val="0016753C"/>
    <w:rsid w:val="00173D0B"/>
    <w:rsid w:val="001754A5"/>
    <w:rsid w:val="001809D0"/>
    <w:rsid w:val="00183A6A"/>
    <w:rsid w:val="001860F5"/>
    <w:rsid w:val="00190C7F"/>
    <w:rsid w:val="001A5C1F"/>
    <w:rsid w:val="001E3886"/>
    <w:rsid w:val="001F22A6"/>
    <w:rsid w:val="001F3862"/>
    <w:rsid w:val="001F42B4"/>
    <w:rsid w:val="001F58F9"/>
    <w:rsid w:val="001F7A59"/>
    <w:rsid w:val="00205A26"/>
    <w:rsid w:val="0021485D"/>
    <w:rsid w:val="0021661D"/>
    <w:rsid w:val="00230B08"/>
    <w:rsid w:val="00240D6F"/>
    <w:rsid w:val="0024161E"/>
    <w:rsid w:val="002424DE"/>
    <w:rsid w:val="00247C59"/>
    <w:rsid w:val="00251EB5"/>
    <w:rsid w:val="002563C1"/>
    <w:rsid w:val="002629C1"/>
    <w:rsid w:val="0026514F"/>
    <w:rsid w:val="00265E6A"/>
    <w:rsid w:val="002716FA"/>
    <w:rsid w:val="00272CED"/>
    <w:rsid w:val="00277145"/>
    <w:rsid w:val="00277DAC"/>
    <w:rsid w:val="002818CE"/>
    <w:rsid w:val="00287C87"/>
    <w:rsid w:val="002910B1"/>
    <w:rsid w:val="002966D7"/>
    <w:rsid w:val="002A17D3"/>
    <w:rsid w:val="002A34BE"/>
    <w:rsid w:val="002A6119"/>
    <w:rsid w:val="002A6143"/>
    <w:rsid w:val="002A6488"/>
    <w:rsid w:val="002B08DF"/>
    <w:rsid w:val="002B465D"/>
    <w:rsid w:val="002C00ED"/>
    <w:rsid w:val="002E0EA9"/>
    <w:rsid w:val="002E1C09"/>
    <w:rsid w:val="002E4472"/>
    <w:rsid w:val="002E5200"/>
    <w:rsid w:val="002E7CF6"/>
    <w:rsid w:val="00307256"/>
    <w:rsid w:val="00313293"/>
    <w:rsid w:val="00314CB1"/>
    <w:rsid w:val="00317526"/>
    <w:rsid w:val="003262D8"/>
    <w:rsid w:val="00327EB3"/>
    <w:rsid w:val="00332275"/>
    <w:rsid w:val="00336E4B"/>
    <w:rsid w:val="00341B39"/>
    <w:rsid w:val="00341EAE"/>
    <w:rsid w:val="00346CE8"/>
    <w:rsid w:val="00352107"/>
    <w:rsid w:val="003667B7"/>
    <w:rsid w:val="0037458C"/>
    <w:rsid w:val="00382E41"/>
    <w:rsid w:val="00384B1C"/>
    <w:rsid w:val="003B7D52"/>
    <w:rsid w:val="003D0559"/>
    <w:rsid w:val="003D0E65"/>
    <w:rsid w:val="003D3CA6"/>
    <w:rsid w:val="003D4BF6"/>
    <w:rsid w:val="003D5438"/>
    <w:rsid w:val="003E25B3"/>
    <w:rsid w:val="003E2E62"/>
    <w:rsid w:val="003E4C1E"/>
    <w:rsid w:val="003F3896"/>
    <w:rsid w:val="003F3CA6"/>
    <w:rsid w:val="0040128A"/>
    <w:rsid w:val="00402BB0"/>
    <w:rsid w:val="0040487F"/>
    <w:rsid w:val="0040493E"/>
    <w:rsid w:val="00410D4F"/>
    <w:rsid w:val="0041102D"/>
    <w:rsid w:val="0041277F"/>
    <w:rsid w:val="004337C8"/>
    <w:rsid w:val="00434CDF"/>
    <w:rsid w:val="00435A04"/>
    <w:rsid w:val="004406EF"/>
    <w:rsid w:val="004418B0"/>
    <w:rsid w:val="00442272"/>
    <w:rsid w:val="00450142"/>
    <w:rsid w:val="00452296"/>
    <w:rsid w:val="004534AA"/>
    <w:rsid w:val="00453A0F"/>
    <w:rsid w:val="00455C4F"/>
    <w:rsid w:val="004758C7"/>
    <w:rsid w:val="00477825"/>
    <w:rsid w:val="004844E6"/>
    <w:rsid w:val="004928F2"/>
    <w:rsid w:val="00495637"/>
    <w:rsid w:val="00497202"/>
    <w:rsid w:val="004A07BF"/>
    <w:rsid w:val="004A19FC"/>
    <w:rsid w:val="004A33E4"/>
    <w:rsid w:val="004A41BF"/>
    <w:rsid w:val="004B78F2"/>
    <w:rsid w:val="004C0527"/>
    <w:rsid w:val="004C79BD"/>
    <w:rsid w:val="004E51D3"/>
    <w:rsid w:val="004E7E8C"/>
    <w:rsid w:val="004F0254"/>
    <w:rsid w:val="005015C0"/>
    <w:rsid w:val="00515759"/>
    <w:rsid w:val="005166A7"/>
    <w:rsid w:val="0052098F"/>
    <w:rsid w:val="005303D1"/>
    <w:rsid w:val="00537A97"/>
    <w:rsid w:val="005416CF"/>
    <w:rsid w:val="00541F36"/>
    <w:rsid w:val="005420E3"/>
    <w:rsid w:val="00553F27"/>
    <w:rsid w:val="0055640B"/>
    <w:rsid w:val="005602B5"/>
    <w:rsid w:val="0056038C"/>
    <w:rsid w:val="005641BB"/>
    <w:rsid w:val="005675D7"/>
    <w:rsid w:val="005741DB"/>
    <w:rsid w:val="005753E3"/>
    <w:rsid w:val="005770B6"/>
    <w:rsid w:val="00577AC3"/>
    <w:rsid w:val="00583F5A"/>
    <w:rsid w:val="005872FA"/>
    <w:rsid w:val="00593B08"/>
    <w:rsid w:val="005A07BC"/>
    <w:rsid w:val="005A26B0"/>
    <w:rsid w:val="005A614F"/>
    <w:rsid w:val="005B3C84"/>
    <w:rsid w:val="005C650A"/>
    <w:rsid w:val="005D07B0"/>
    <w:rsid w:val="005D5F8F"/>
    <w:rsid w:val="005E1C62"/>
    <w:rsid w:val="005E4424"/>
    <w:rsid w:val="005E5D5D"/>
    <w:rsid w:val="005E68C8"/>
    <w:rsid w:val="005F0816"/>
    <w:rsid w:val="005F0DBC"/>
    <w:rsid w:val="005F347B"/>
    <w:rsid w:val="005F4140"/>
    <w:rsid w:val="006044D8"/>
    <w:rsid w:val="00604B5C"/>
    <w:rsid w:val="00633E8D"/>
    <w:rsid w:val="00643F45"/>
    <w:rsid w:val="00644FE0"/>
    <w:rsid w:val="00647FDA"/>
    <w:rsid w:val="0065086F"/>
    <w:rsid w:val="006552AE"/>
    <w:rsid w:val="00660D22"/>
    <w:rsid w:val="006622C6"/>
    <w:rsid w:val="00665894"/>
    <w:rsid w:val="00676781"/>
    <w:rsid w:val="006777BA"/>
    <w:rsid w:val="00681584"/>
    <w:rsid w:val="00690F27"/>
    <w:rsid w:val="00697B43"/>
    <w:rsid w:val="006A0BFF"/>
    <w:rsid w:val="006A181C"/>
    <w:rsid w:val="006A2A23"/>
    <w:rsid w:val="006A2E9E"/>
    <w:rsid w:val="006A48CB"/>
    <w:rsid w:val="006B0FD0"/>
    <w:rsid w:val="006B1C94"/>
    <w:rsid w:val="006B3D5A"/>
    <w:rsid w:val="006C2A81"/>
    <w:rsid w:val="006C4431"/>
    <w:rsid w:val="006C4852"/>
    <w:rsid w:val="006E4BFE"/>
    <w:rsid w:val="006E60DB"/>
    <w:rsid w:val="006F363C"/>
    <w:rsid w:val="00702792"/>
    <w:rsid w:val="007041A8"/>
    <w:rsid w:val="00710D54"/>
    <w:rsid w:val="007112AB"/>
    <w:rsid w:val="0071753D"/>
    <w:rsid w:val="00721D7B"/>
    <w:rsid w:val="007228FA"/>
    <w:rsid w:val="00725C69"/>
    <w:rsid w:val="00730289"/>
    <w:rsid w:val="00734129"/>
    <w:rsid w:val="007346D3"/>
    <w:rsid w:val="007356D3"/>
    <w:rsid w:val="0073689C"/>
    <w:rsid w:val="007412EF"/>
    <w:rsid w:val="00742E4D"/>
    <w:rsid w:val="007441FE"/>
    <w:rsid w:val="00744DF6"/>
    <w:rsid w:val="00747FEB"/>
    <w:rsid w:val="007537D5"/>
    <w:rsid w:val="00757C26"/>
    <w:rsid w:val="00780275"/>
    <w:rsid w:val="007820EE"/>
    <w:rsid w:val="00795AE2"/>
    <w:rsid w:val="00797866"/>
    <w:rsid w:val="007A3268"/>
    <w:rsid w:val="007A6A4F"/>
    <w:rsid w:val="007B7FED"/>
    <w:rsid w:val="007C1234"/>
    <w:rsid w:val="007C4354"/>
    <w:rsid w:val="007C4814"/>
    <w:rsid w:val="007C63C1"/>
    <w:rsid w:val="007D4330"/>
    <w:rsid w:val="007D48ED"/>
    <w:rsid w:val="007D506B"/>
    <w:rsid w:val="007E476D"/>
    <w:rsid w:val="007F08AD"/>
    <w:rsid w:val="007F38C2"/>
    <w:rsid w:val="007F6299"/>
    <w:rsid w:val="0080117E"/>
    <w:rsid w:val="00814C18"/>
    <w:rsid w:val="00822271"/>
    <w:rsid w:val="008407D8"/>
    <w:rsid w:val="00841D45"/>
    <w:rsid w:val="00842D9B"/>
    <w:rsid w:val="00846533"/>
    <w:rsid w:val="00853710"/>
    <w:rsid w:val="00865E8F"/>
    <w:rsid w:val="00875E93"/>
    <w:rsid w:val="00892E08"/>
    <w:rsid w:val="0089511F"/>
    <w:rsid w:val="008959EF"/>
    <w:rsid w:val="00895B9F"/>
    <w:rsid w:val="008A3EDA"/>
    <w:rsid w:val="008A4A0A"/>
    <w:rsid w:val="008B1FF2"/>
    <w:rsid w:val="008B36EB"/>
    <w:rsid w:val="008C509B"/>
    <w:rsid w:val="008C5509"/>
    <w:rsid w:val="008E17FC"/>
    <w:rsid w:val="008E35E5"/>
    <w:rsid w:val="008F0D0B"/>
    <w:rsid w:val="008F1FEC"/>
    <w:rsid w:val="008F225A"/>
    <w:rsid w:val="008F4CC3"/>
    <w:rsid w:val="00902AC9"/>
    <w:rsid w:val="00905824"/>
    <w:rsid w:val="00907D11"/>
    <w:rsid w:val="00910FE0"/>
    <w:rsid w:val="0091496C"/>
    <w:rsid w:val="00916122"/>
    <w:rsid w:val="0091633C"/>
    <w:rsid w:val="0092432A"/>
    <w:rsid w:val="00926112"/>
    <w:rsid w:val="00930D5F"/>
    <w:rsid w:val="00932AE5"/>
    <w:rsid w:val="0093418F"/>
    <w:rsid w:val="0093424B"/>
    <w:rsid w:val="00935B9D"/>
    <w:rsid w:val="00937A63"/>
    <w:rsid w:val="00941580"/>
    <w:rsid w:val="009458F5"/>
    <w:rsid w:val="009459D2"/>
    <w:rsid w:val="009469B8"/>
    <w:rsid w:val="00947AA4"/>
    <w:rsid w:val="009526D7"/>
    <w:rsid w:val="00954DE6"/>
    <w:rsid w:val="00960251"/>
    <w:rsid w:val="009633A4"/>
    <w:rsid w:val="009648E1"/>
    <w:rsid w:val="0097791D"/>
    <w:rsid w:val="00982E16"/>
    <w:rsid w:val="009904C3"/>
    <w:rsid w:val="009911F5"/>
    <w:rsid w:val="00991BB1"/>
    <w:rsid w:val="009922A6"/>
    <w:rsid w:val="00995683"/>
    <w:rsid w:val="00996D73"/>
    <w:rsid w:val="009A1B08"/>
    <w:rsid w:val="009A2F01"/>
    <w:rsid w:val="009A770D"/>
    <w:rsid w:val="009C00E5"/>
    <w:rsid w:val="009C1181"/>
    <w:rsid w:val="009C3B09"/>
    <w:rsid w:val="009E25AD"/>
    <w:rsid w:val="009E2FCE"/>
    <w:rsid w:val="009E54C5"/>
    <w:rsid w:val="009F32DC"/>
    <w:rsid w:val="009F5556"/>
    <w:rsid w:val="00A0106E"/>
    <w:rsid w:val="00A073DA"/>
    <w:rsid w:val="00A11595"/>
    <w:rsid w:val="00A11639"/>
    <w:rsid w:val="00A136D6"/>
    <w:rsid w:val="00A17ACE"/>
    <w:rsid w:val="00A17E67"/>
    <w:rsid w:val="00A21A42"/>
    <w:rsid w:val="00A22B1A"/>
    <w:rsid w:val="00A240A6"/>
    <w:rsid w:val="00A24D1D"/>
    <w:rsid w:val="00A4118B"/>
    <w:rsid w:val="00A5590E"/>
    <w:rsid w:val="00A56E43"/>
    <w:rsid w:val="00A57265"/>
    <w:rsid w:val="00A70DB4"/>
    <w:rsid w:val="00A91FF6"/>
    <w:rsid w:val="00AA2FA7"/>
    <w:rsid w:val="00AB20B9"/>
    <w:rsid w:val="00AB3A04"/>
    <w:rsid w:val="00AC2D4F"/>
    <w:rsid w:val="00AC3130"/>
    <w:rsid w:val="00AC3EE3"/>
    <w:rsid w:val="00AC70E2"/>
    <w:rsid w:val="00AD26DC"/>
    <w:rsid w:val="00B01C84"/>
    <w:rsid w:val="00B02EFF"/>
    <w:rsid w:val="00B13DD0"/>
    <w:rsid w:val="00B17BA9"/>
    <w:rsid w:val="00B245D7"/>
    <w:rsid w:val="00B32643"/>
    <w:rsid w:val="00B33721"/>
    <w:rsid w:val="00B355E3"/>
    <w:rsid w:val="00B37859"/>
    <w:rsid w:val="00B45F9C"/>
    <w:rsid w:val="00B475AC"/>
    <w:rsid w:val="00B50500"/>
    <w:rsid w:val="00B62670"/>
    <w:rsid w:val="00B63AD7"/>
    <w:rsid w:val="00B67688"/>
    <w:rsid w:val="00B7211D"/>
    <w:rsid w:val="00B722BE"/>
    <w:rsid w:val="00B742CC"/>
    <w:rsid w:val="00B7528E"/>
    <w:rsid w:val="00B82E0B"/>
    <w:rsid w:val="00B838DA"/>
    <w:rsid w:val="00B84740"/>
    <w:rsid w:val="00B86B53"/>
    <w:rsid w:val="00B940D8"/>
    <w:rsid w:val="00BA0DE1"/>
    <w:rsid w:val="00BA7A8B"/>
    <w:rsid w:val="00BC6756"/>
    <w:rsid w:val="00BC6FA9"/>
    <w:rsid w:val="00BD0AE1"/>
    <w:rsid w:val="00BD3768"/>
    <w:rsid w:val="00BD5753"/>
    <w:rsid w:val="00BD6D25"/>
    <w:rsid w:val="00BE37CA"/>
    <w:rsid w:val="00BF5774"/>
    <w:rsid w:val="00C018B1"/>
    <w:rsid w:val="00C13DB0"/>
    <w:rsid w:val="00C209D3"/>
    <w:rsid w:val="00C2166B"/>
    <w:rsid w:val="00C227BC"/>
    <w:rsid w:val="00C22E72"/>
    <w:rsid w:val="00C2487A"/>
    <w:rsid w:val="00C25676"/>
    <w:rsid w:val="00C25F27"/>
    <w:rsid w:val="00C278F7"/>
    <w:rsid w:val="00C305EC"/>
    <w:rsid w:val="00C67ED9"/>
    <w:rsid w:val="00C7076F"/>
    <w:rsid w:val="00C74159"/>
    <w:rsid w:val="00C771C2"/>
    <w:rsid w:val="00C77573"/>
    <w:rsid w:val="00C826BF"/>
    <w:rsid w:val="00C82897"/>
    <w:rsid w:val="00C934CA"/>
    <w:rsid w:val="00CA65D6"/>
    <w:rsid w:val="00CB1925"/>
    <w:rsid w:val="00CB1A82"/>
    <w:rsid w:val="00CB1CD1"/>
    <w:rsid w:val="00CB442B"/>
    <w:rsid w:val="00CC02D9"/>
    <w:rsid w:val="00CC6EC2"/>
    <w:rsid w:val="00CE048C"/>
    <w:rsid w:val="00CE42F4"/>
    <w:rsid w:val="00CE60E1"/>
    <w:rsid w:val="00CF1B93"/>
    <w:rsid w:val="00D01B92"/>
    <w:rsid w:val="00D02161"/>
    <w:rsid w:val="00D02AFA"/>
    <w:rsid w:val="00D047E4"/>
    <w:rsid w:val="00D05E04"/>
    <w:rsid w:val="00D31404"/>
    <w:rsid w:val="00D36D29"/>
    <w:rsid w:val="00D45F88"/>
    <w:rsid w:val="00D542BF"/>
    <w:rsid w:val="00D60A22"/>
    <w:rsid w:val="00D6659C"/>
    <w:rsid w:val="00D669BD"/>
    <w:rsid w:val="00D77B3F"/>
    <w:rsid w:val="00D80B8D"/>
    <w:rsid w:val="00D846D7"/>
    <w:rsid w:val="00D91327"/>
    <w:rsid w:val="00D915DE"/>
    <w:rsid w:val="00D92A8E"/>
    <w:rsid w:val="00D92D5E"/>
    <w:rsid w:val="00D93FA4"/>
    <w:rsid w:val="00D94BDD"/>
    <w:rsid w:val="00D96A8B"/>
    <w:rsid w:val="00DA501D"/>
    <w:rsid w:val="00DA5C48"/>
    <w:rsid w:val="00DA696A"/>
    <w:rsid w:val="00DC0D3E"/>
    <w:rsid w:val="00E00252"/>
    <w:rsid w:val="00E074CF"/>
    <w:rsid w:val="00E100A9"/>
    <w:rsid w:val="00E15D60"/>
    <w:rsid w:val="00E20006"/>
    <w:rsid w:val="00E33E46"/>
    <w:rsid w:val="00E37339"/>
    <w:rsid w:val="00E538A3"/>
    <w:rsid w:val="00E57E9E"/>
    <w:rsid w:val="00E664DB"/>
    <w:rsid w:val="00E757BF"/>
    <w:rsid w:val="00E767A1"/>
    <w:rsid w:val="00E809E0"/>
    <w:rsid w:val="00E8344B"/>
    <w:rsid w:val="00E84276"/>
    <w:rsid w:val="00E85140"/>
    <w:rsid w:val="00EA0EEA"/>
    <w:rsid w:val="00EA3F68"/>
    <w:rsid w:val="00EB0EE3"/>
    <w:rsid w:val="00EB6166"/>
    <w:rsid w:val="00EC0F67"/>
    <w:rsid w:val="00ED3317"/>
    <w:rsid w:val="00ED45BC"/>
    <w:rsid w:val="00ED5958"/>
    <w:rsid w:val="00ED724D"/>
    <w:rsid w:val="00EE09B9"/>
    <w:rsid w:val="00EF220E"/>
    <w:rsid w:val="00F0017A"/>
    <w:rsid w:val="00F026AD"/>
    <w:rsid w:val="00F03105"/>
    <w:rsid w:val="00F10941"/>
    <w:rsid w:val="00F2301F"/>
    <w:rsid w:val="00F271E7"/>
    <w:rsid w:val="00F345B3"/>
    <w:rsid w:val="00F34C9B"/>
    <w:rsid w:val="00F3591F"/>
    <w:rsid w:val="00F36829"/>
    <w:rsid w:val="00F428D6"/>
    <w:rsid w:val="00F51D75"/>
    <w:rsid w:val="00F53DBC"/>
    <w:rsid w:val="00F6024D"/>
    <w:rsid w:val="00F624ED"/>
    <w:rsid w:val="00F70CD4"/>
    <w:rsid w:val="00F72E45"/>
    <w:rsid w:val="00F74610"/>
    <w:rsid w:val="00F806C0"/>
    <w:rsid w:val="00F85AED"/>
    <w:rsid w:val="00F87476"/>
    <w:rsid w:val="00FA16D5"/>
    <w:rsid w:val="00FA2219"/>
    <w:rsid w:val="00FA378B"/>
    <w:rsid w:val="00FB0709"/>
    <w:rsid w:val="00FB0C88"/>
    <w:rsid w:val="00FB7176"/>
    <w:rsid w:val="00FC7292"/>
    <w:rsid w:val="00FC7DB4"/>
    <w:rsid w:val="00FD4CBB"/>
    <w:rsid w:val="00FD501A"/>
    <w:rsid w:val="00FF26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C18D"/>
  <w15:chartTrackingRefBased/>
  <w15:docId w15:val="{010A21B9-CB44-4A32-A4F6-0638F2C7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D37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A">
    <w:name w:val="Corpo A"/>
    <w:rsid w:val="00A21A42"/>
    <w:pPr>
      <w:pBdr>
        <w:top w:val="nil"/>
        <w:left w:val="nil"/>
        <w:bottom w:val="nil"/>
        <w:right w:val="nil"/>
        <w:between w:val="nil"/>
        <w:bar w:val="nil"/>
      </w:pBdr>
      <w:spacing w:after="0" w:line="240" w:lineRule="auto"/>
    </w:pPr>
    <w:rPr>
      <w:rFonts w:ascii="Times New Roman" w:eastAsia="Arial Unicode MS" w:hAnsi="Times New Roman" w:cs="Arial Unicode MS"/>
      <w:color w:val="00000A"/>
      <w:kern w:val="2"/>
      <w:sz w:val="24"/>
      <w:szCs w:val="24"/>
      <w:u w:color="00000A"/>
      <w:bdr w:val="nil"/>
      <w:lang w:val="en-US"/>
    </w:rPr>
  </w:style>
  <w:style w:type="paragraph" w:customStyle="1" w:styleId="Didefault">
    <w:name w:val="Di default"/>
    <w:rsid w:val="00A21A42"/>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rPr>
  </w:style>
  <w:style w:type="paragraph" w:styleId="Testofumetto">
    <w:name w:val="Balloon Text"/>
    <w:basedOn w:val="Normale"/>
    <w:link w:val="TestofumettoCarattere"/>
    <w:uiPriority w:val="99"/>
    <w:semiHidden/>
    <w:unhideWhenUsed/>
    <w:rsid w:val="00A21A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1A42"/>
    <w:rPr>
      <w:rFonts w:ascii="Segoe UI" w:hAnsi="Segoe UI" w:cs="Segoe UI"/>
      <w:sz w:val="18"/>
      <w:szCs w:val="18"/>
    </w:rPr>
  </w:style>
  <w:style w:type="character" w:styleId="Rimandocommento">
    <w:name w:val="annotation reference"/>
    <w:basedOn w:val="Carpredefinitoparagrafo"/>
    <w:uiPriority w:val="99"/>
    <w:semiHidden/>
    <w:unhideWhenUsed/>
    <w:rsid w:val="00A21A42"/>
    <w:rPr>
      <w:sz w:val="16"/>
      <w:szCs w:val="16"/>
    </w:rPr>
  </w:style>
  <w:style w:type="paragraph" w:styleId="Testocommento">
    <w:name w:val="annotation text"/>
    <w:basedOn w:val="Normale"/>
    <w:link w:val="TestocommentoCarattere"/>
    <w:unhideWhenUsed/>
    <w:rsid w:val="00A21A4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21A42"/>
    <w:rPr>
      <w:sz w:val="20"/>
      <w:szCs w:val="20"/>
    </w:rPr>
  </w:style>
  <w:style w:type="paragraph" w:styleId="Soggettocommento">
    <w:name w:val="annotation subject"/>
    <w:basedOn w:val="Testocommento"/>
    <w:next w:val="Testocommento"/>
    <w:link w:val="SoggettocommentoCarattere"/>
    <w:uiPriority w:val="99"/>
    <w:semiHidden/>
    <w:unhideWhenUsed/>
    <w:rsid w:val="00A21A42"/>
    <w:rPr>
      <w:b/>
      <w:bCs/>
    </w:rPr>
  </w:style>
  <w:style w:type="character" w:customStyle="1" w:styleId="SoggettocommentoCarattere">
    <w:name w:val="Soggetto commento Carattere"/>
    <w:basedOn w:val="TestocommentoCarattere"/>
    <w:link w:val="Soggettocommento"/>
    <w:uiPriority w:val="99"/>
    <w:semiHidden/>
    <w:rsid w:val="00A21A42"/>
    <w:rPr>
      <w:b/>
      <w:bCs/>
      <w:sz w:val="20"/>
      <w:szCs w:val="20"/>
    </w:rPr>
  </w:style>
  <w:style w:type="paragraph" w:styleId="Paragrafoelenco">
    <w:name w:val="List Paragraph"/>
    <w:basedOn w:val="Normale"/>
    <w:uiPriority w:val="34"/>
    <w:qFormat/>
    <w:rsid w:val="00131A1F"/>
    <w:pPr>
      <w:ind w:left="720"/>
      <w:contextualSpacing/>
    </w:pPr>
  </w:style>
  <w:style w:type="paragraph" w:styleId="Intestazione">
    <w:name w:val="header"/>
    <w:basedOn w:val="Normale"/>
    <w:link w:val="IntestazioneCarattere"/>
    <w:uiPriority w:val="99"/>
    <w:unhideWhenUsed/>
    <w:rsid w:val="005675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75D7"/>
  </w:style>
  <w:style w:type="paragraph" w:styleId="Pidipagina">
    <w:name w:val="footer"/>
    <w:basedOn w:val="Normale"/>
    <w:link w:val="PidipaginaCarattere"/>
    <w:uiPriority w:val="99"/>
    <w:unhideWhenUsed/>
    <w:rsid w:val="005675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75D7"/>
  </w:style>
  <w:style w:type="numbering" w:customStyle="1" w:styleId="Puntielenco">
    <w:name w:val="Punti elenco"/>
    <w:rsid w:val="005E4424"/>
    <w:pPr>
      <w:numPr>
        <w:numId w:val="1"/>
      </w:numPr>
    </w:pPr>
  </w:style>
  <w:style w:type="numbering" w:customStyle="1" w:styleId="Numerato">
    <w:name w:val="Numerato"/>
    <w:rsid w:val="005E4424"/>
    <w:pPr>
      <w:numPr>
        <w:numId w:val="2"/>
      </w:numPr>
    </w:pPr>
  </w:style>
  <w:style w:type="paragraph" w:customStyle="1" w:styleId="DidefaultAA">
    <w:name w:val="Di default A A"/>
    <w:rsid w:val="005E442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it-IT"/>
    </w:rPr>
  </w:style>
  <w:style w:type="paragraph" w:customStyle="1" w:styleId="DidefaultA">
    <w:name w:val="Di default A"/>
    <w:rsid w:val="005E442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it-IT"/>
    </w:rPr>
  </w:style>
  <w:style w:type="numbering" w:customStyle="1" w:styleId="Stileimportato1">
    <w:name w:val="Stile importato 1"/>
    <w:rsid w:val="005E4424"/>
    <w:pPr>
      <w:numPr>
        <w:numId w:val="3"/>
      </w:numPr>
    </w:pPr>
  </w:style>
  <w:style w:type="paragraph" w:styleId="Revisione">
    <w:name w:val="Revision"/>
    <w:hidden/>
    <w:uiPriority w:val="99"/>
    <w:semiHidden/>
    <w:rsid w:val="000309AC"/>
    <w:pPr>
      <w:spacing w:after="0" w:line="240" w:lineRule="auto"/>
    </w:pPr>
  </w:style>
  <w:style w:type="paragraph" w:styleId="NormaleWeb">
    <w:name w:val="Normal (Web)"/>
    <w:basedOn w:val="Normale"/>
    <w:uiPriority w:val="99"/>
    <w:unhideWhenUsed/>
    <w:rsid w:val="005209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910F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10FE0"/>
    <w:rPr>
      <w:sz w:val="20"/>
      <w:szCs w:val="20"/>
    </w:rPr>
  </w:style>
  <w:style w:type="character" w:styleId="Rimandonotaapidipagina">
    <w:name w:val="footnote reference"/>
    <w:basedOn w:val="Carpredefinitoparagrafo"/>
    <w:uiPriority w:val="99"/>
    <w:semiHidden/>
    <w:unhideWhenUsed/>
    <w:rsid w:val="00910FE0"/>
    <w:rPr>
      <w:vertAlign w:val="superscript"/>
    </w:rPr>
  </w:style>
  <w:style w:type="character" w:styleId="Collegamentoipertestuale">
    <w:name w:val="Hyperlink"/>
    <w:basedOn w:val="Carpredefinitoparagrafo"/>
    <w:uiPriority w:val="99"/>
    <w:unhideWhenUsed/>
    <w:rsid w:val="00E809E0"/>
    <w:rPr>
      <w:color w:val="0563C1" w:themeColor="hyperlink"/>
      <w:u w:val="single"/>
    </w:rPr>
  </w:style>
  <w:style w:type="character" w:styleId="Menzionenonrisolta">
    <w:name w:val="Unresolved Mention"/>
    <w:basedOn w:val="Carpredefinitoparagrafo"/>
    <w:uiPriority w:val="99"/>
    <w:semiHidden/>
    <w:unhideWhenUsed/>
    <w:rsid w:val="00E809E0"/>
    <w:rPr>
      <w:color w:val="605E5C"/>
      <w:shd w:val="clear" w:color="auto" w:fill="E1DFDD"/>
    </w:rPr>
  </w:style>
  <w:style w:type="character" w:styleId="Collegamentovisitato">
    <w:name w:val="FollowedHyperlink"/>
    <w:basedOn w:val="Carpredefinitoparagrafo"/>
    <w:uiPriority w:val="99"/>
    <w:semiHidden/>
    <w:unhideWhenUsed/>
    <w:rsid w:val="0071753D"/>
    <w:rPr>
      <w:color w:val="954F72" w:themeColor="followedHyperlink"/>
      <w:u w:val="single"/>
    </w:rPr>
  </w:style>
  <w:style w:type="character" w:styleId="Numeropagina">
    <w:name w:val="page number"/>
    <w:basedOn w:val="Carpredefinitoparagrafo"/>
    <w:uiPriority w:val="99"/>
    <w:semiHidden/>
    <w:unhideWhenUsed/>
    <w:rsid w:val="004928F2"/>
  </w:style>
  <w:style w:type="character" w:customStyle="1" w:styleId="Titolo1Carattere">
    <w:name w:val="Titolo 1 Carattere"/>
    <w:basedOn w:val="Carpredefinitoparagrafo"/>
    <w:link w:val="Titolo1"/>
    <w:uiPriority w:val="9"/>
    <w:rsid w:val="00BD3768"/>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BD3768"/>
    <w:pPr>
      <w:spacing w:before="480" w:line="276" w:lineRule="auto"/>
      <w:outlineLvl w:val="9"/>
    </w:pPr>
    <w:rPr>
      <w:b/>
      <w:bCs/>
      <w:sz w:val="28"/>
      <w:szCs w:val="28"/>
      <w:lang w:eastAsia="it-IT"/>
    </w:rPr>
  </w:style>
  <w:style w:type="paragraph" w:styleId="Sommario1">
    <w:name w:val="toc 1"/>
    <w:basedOn w:val="Normale"/>
    <w:next w:val="Normale"/>
    <w:autoRedefine/>
    <w:uiPriority w:val="39"/>
    <w:semiHidden/>
    <w:unhideWhenUsed/>
    <w:rsid w:val="00BD3768"/>
    <w:pPr>
      <w:spacing w:before="360" w:after="360"/>
    </w:pPr>
    <w:rPr>
      <w:b/>
      <w:bCs/>
      <w:caps/>
      <w:u w:val="single"/>
    </w:rPr>
  </w:style>
  <w:style w:type="paragraph" w:styleId="Sommario2">
    <w:name w:val="toc 2"/>
    <w:basedOn w:val="Normale"/>
    <w:next w:val="Normale"/>
    <w:autoRedefine/>
    <w:uiPriority w:val="39"/>
    <w:semiHidden/>
    <w:unhideWhenUsed/>
    <w:rsid w:val="00BD3768"/>
    <w:pPr>
      <w:spacing w:after="0"/>
    </w:pPr>
    <w:rPr>
      <w:b/>
      <w:bCs/>
      <w:smallCaps/>
    </w:rPr>
  </w:style>
  <w:style w:type="paragraph" w:styleId="Sommario3">
    <w:name w:val="toc 3"/>
    <w:basedOn w:val="Normale"/>
    <w:next w:val="Normale"/>
    <w:autoRedefine/>
    <w:uiPriority w:val="39"/>
    <w:semiHidden/>
    <w:unhideWhenUsed/>
    <w:rsid w:val="00BD3768"/>
    <w:pPr>
      <w:spacing w:after="0"/>
    </w:pPr>
    <w:rPr>
      <w:smallCaps/>
    </w:rPr>
  </w:style>
  <w:style w:type="paragraph" w:styleId="Sommario4">
    <w:name w:val="toc 4"/>
    <w:basedOn w:val="Normale"/>
    <w:next w:val="Normale"/>
    <w:autoRedefine/>
    <w:uiPriority w:val="39"/>
    <w:semiHidden/>
    <w:unhideWhenUsed/>
    <w:rsid w:val="00BD3768"/>
    <w:pPr>
      <w:spacing w:after="0"/>
    </w:pPr>
  </w:style>
  <w:style w:type="paragraph" w:styleId="Sommario5">
    <w:name w:val="toc 5"/>
    <w:basedOn w:val="Normale"/>
    <w:next w:val="Normale"/>
    <w:autoRedefine/>
    <w:uiPriority w:val="39"/>
    <w:semiHidden/>
    <w:unhideWhenUsed/>
    <w:rsid w:val="00BD3768"/>
    <w:pPr>
      <w:spacing w:after="0"/>
    </w:pPr>
  </w:style>
  <w:style w:type="paragraph" w:styleId="Sommario6">
    <w:name w:val="toc 6"/>
    <w:basedOn w:val="Normale"/>
    <w:next w:val="Normale"/>
    <w:autoRedefine/>
    <w:uiPriority w:val="39"/>
    <w:semiHidden/>
    <w:unhideWhenUsed/>
    <w:rsid w:val="00BD3768"/>
    <w:pPr>
      <w:spacing w:after="0"/>
    </w:pPr>
  </w:style>
  <w:style w:type="paragraph" w:styleId="Sommario7">
    <w:name w:val="toc 7"/>
    <w:basedOn w:val="Normale"/>
    <w:next w:val="Normale"/>
    <w:autoRedefine/>
    <w:uiPriority w:val="39"/>
    <w:semiHidden/>
    <w:unhideWhenUsed/>
    <w:rsid w:val="00BD3768"/>
    <w:pPr>
      <w:spacing w:after="0"/>
    </w:pPr>
  </w:style>
  <w:style w:type="paragraph" w:styleId="Sommario8">
    <w:name w:val="toc 8"/>
    <w:basedOn w:val="Normale"/>
    <w:next w:val="Normale"/>
    <w:autoRedefine/>
    <w:uiPriority w:val="39"/>
    <w:semiHidden/>
    <w:unhideWhenUsed/>
    <w:rsid w:val="00BD3768"/>
    <w:pPr>
      <w:spacing w:after="0"/>
    </w:pPr>
  </w:style>
  <w:style w:type="paragraph" w:styleId="Sommario9">
    <w:name w:val="toc 9"/>
    <w:basedOn w:val="Normale"/>
    <w:next w:val="Normale"/>
    <w:autoRedefine/>
    <w:uiPriority w:val="39"/>
    <w:semiHidden/>
    <w:unhideWhenUsed/>
    <w:rsid w:val="00BD3768"/>
    <w:pPr>
      <w:spacing w:after="0"/>
    </w:pPr>
  </w:style>
  <w:style w:type="table" w:styleId="Grigliatabella">
    <w:name w:val="Table Grid"/>
    <w:basedOn w:val="Tabellanormale"/>
    <w:uiPriority w:val="39"/>
    <w:rsid w:val="00341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5F9C"/>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5283">
      <w:bodyDiv w:val="1"/>
      <w:marLeft w:val="0"/>
      <w:marRight w:val="0"/>
      <w:marTop w:val="0"/>
      <w:marBottom w:val="0"/>
      <w:divBdr>
        <w:top w:val="none" w:sz="0" w:space="0" w:color="auto"/>
        <w:left w:val="none" w:sz="0" w:space="0" w:color="auto"/>
        <w:bottom w:val="none" w:sz="0" w:space="0" w:color="auto"/>
        <w:right w:val="none" w:sz="0" w:space="0" w:color="auto"/>
      </w:divBdr>
      <w:divsChild>
        <w:div w:id="1889873990">
          <w:marLeft w:val="0"/>
          <w:marRight w:val="0"/>
          <w:marTop w:val="0"/>
          <w:marBottom w:val="0"/>
          <w:divBdr>
            <w:top w:val="none" w:sz="0" w:space="0" w:color="auto"/>
            <w:left w:val="none" w:sz="0" w:space="0" w:color="auto"/>
            <w:bottom w:val="none" w:sz="0" w:space="0" w:color="auto"/>
            <w:right w:val="none" w:sz="0" w:space="0" w:color="auto"/>
          </w:divBdr>
          <w:divsChild>
            <w:div w:id="786002691">
              <w:marLeft w:val="0"/>
              <w:marRight w:val="0"/>
              <w:marTop w:val="0"/>
              <w:marBottom w:val="0"/>
              <w:divBdr>
                <w:top w:val="none" w:sz="0" w:space="0" w:color="auto"/>
                <w:left w:val="none" w:sz="0" w:space="0" w:color="auto"/>
                <w:bottom w:val="none" w:sz="0" w:space="0" w:color="auto"/>
                <w:right w:val="none" w:sz="0" w:space="0" w:color="auto"/>
              </w:divBdr>
              <w:divsChild>
                <w:div w:id="6899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32226">
      <w:bodyDiv w:val="1"/>
      <w:marLeft w:val="0"/>
      <w:marRight w:val="0"/>
      <w:marTop w:val="0"/>
      <w:marBottom w:val="0"/>
      <w:divBdr>
        <w:top w:val="none" w:sz="0" w:space="0" w:color="auto"/>
        <w:left w:val="none" w:sz="0" w:space="0" w:color="auto"/>
        <w:bottom w:val="none" w:sz="0" w:space="0" w:color="auto"/>
        <w:right w:val="none" w:sz="0" w:space="0" w:color="auto"/>
      </w:divBdr>
      <w:divsChild>
        <w:div w:id="1680355349">
          <w:marLeft w:val="0"/>
          <w:marRight w:val="0"/>
          <w:marTop w:val="0"/>
          <w:marBottom w:val="0"/>
          <w:divBdr>
            <w:top w:val="none" w:sz="0" w:space="0" w:color="auto"/>
            <w:left w:val="none" w:sz="0" w:space="0" w:color="auto"/>
            <w:bottom w:val="none" w:sz="0" w:space="0" w:color="auto"/>
            <w:right w:val="none" w:sz="0" w:space="0" w:color="auto"/>
          </w:divBdr>
          <w:divsChild>
            <w:div w:id="1441535313">
              <w:marLeft w:val="0"/>
              <w:marRight w:val="0"/>
              <w:marTop w:val="0"/>
              <w:marBottom w:val="0"/>
              <w:divBdr>
                <w:top w:val="none" w:sz="0" w:space="0" w:color="auto"/>
                <w:left w:val="none" w:sz="0" w:space="0" w:color="auto"/>
                <w:bottom w:val="none" w:sz="0" w:space="0" w:color="auto"/>
                <w:right w:val="none" w:sz="0" w:space="0" w:color="auto"/>
              </w:divBdr>
              <w:divsChild>
                <w:div w:id="1072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7476">
      <w:bodyDiv w:val="1"/>
      <w:marLeft w:val="0"/>
      <w:marRight w:val="0"/>
      <w:marTop w:val="0"/>
      <w:marBottom w:val="0"/>
      <w:divBdr>
        <w:top w:val="none" w:sz="0" w:space="0" w:color="auto"/>
        <w:left w:val="none" w:sz="0" w:space="0" w:color="auto"/>
        <w:bottom w:val="none" w:sz="0" w:space="0" w:color="auto"/>
        <w:right w:val="none" w:sz="0" w:space="0" w:color="auto"/>
      </w:divBdr>
      <w:divsChild>
        <w:div w:id="1500347112">
          <w:marLeft w:val="0"/>
          <w:marRight w:val="0"/>
          <w:marTop w:val="0"/>
          <w:marBottom w:val="0"/>
          <w:divBdr>
            <w:top w:val="none" w:sz="0" w:space="0" w:color="auto"/>
            <w:left w:val="none" w:sz="0" w:space="0" w:color="auto"/>
            <w:bottom w:val="none" w:sz="0" w:space="0" w:color="auto"/>
            <w:right w:val="none" w:sz="0" w:space="0" w:color="auto"/>
          </w:divBdr>
          <w:divsChild>
            <w:div w:id="179317285">
              <w:marLeft w:val="0"/>
              <w:marRight w:val="0"/>
              <w:marTop w:val="0"/>
              <w:marBottom w:val="0"/>
              <w:divBdr>
                <w:top w:val="none" w:sz="0" w:space="0" w:color="auto"/>
                <w:left w:val="none" w:sz="0" w:space="0" w:color="auto"/>
                <w:bottom w:val="none" w:sz="0" w:space="0" w:color="auto"/>
                <w:right w:val="none" w:sz="0" w:space="0" w:color="auto"/>
              </w:divBdr>
              <w:divsChild>
                <w:div w:id="13681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2762">
      <w:bodyDiv w:val="1"/>
      <w:marLeft w:val="0"/>
      <w:marRight w:val="0"/>
      <w:marTop w:val="0"/>
      <w:marBottom w:val="0"/>
      <w:divBdr>
        <w:top w:val="none" w:sz="0" w:space="0" w:color="auto"/>
        <w:left w:val="none" w:sz="0" w:space="0" w:color="auto"/>
        <w:bottom w:val="none" w:sz="0" w:space="0" w:color="auto"/>
        <w:right w:val="none" w:sz="0" w:space="0" w:color="auto"/>
      </w:divBdr>
      <w:divsChild>
        <w:div w:id="1573390338">
          <w:marLeft w:val="0"/>
          <w:marRight w:val="0"/>
          <w:marTop w:val="0"/>
          <w:marBottom w:val="0"/>
          <w:divBdr>
            <w:top w:val="none" w:sz="0" w:space="0" w:color="auto"/>
            <w:left w:val="none" w:sz="0" w:space="0" w:color="auto"/>
            <w:bottom w:val="none" w:sz="0" w:space="0" w:color="auto"/>
            <w:right w:val="none" w:sz="0" w:space="0" w:color="auto"/>
          </w:divBdr>
          <w:divsChild>
            <w:div w:id="1095007580">
              <w:marLeft w:val="0"/>
              <w:marRight w:val="0"/>
              <w:marTop w:val="0"/>
              <w:marBottom w:val="0"/>
              <w:divBdr>
                <w:top w:val="none" w:sz="0" w:space="0" w:color="auto"/>
                <w:left w:val="none" w:sz="0" w:space="0" w:color="auto"/>
                <w:bottom w:val="none" w:sz="0" w:space="0" w:color="auto"/>
                <w:right w:val="none" w:sz="0" w:space="0" w:color="auto"/>
              </w:divBdr>
              <w:divsChild>
                <w:div w:id="6251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7804">
      <w:bodyDiv w:val="1"/>
      <w:marLeft w:val="0"/>
      <w:marRight w:val="0"/>
      <w:marTop w:val="0"/>
      <w:marBottom w:val="0"/>
      <w:divBdr>
        <w:top w:val="none" w:sz="0" w:space="0" w:color="auto"/>
        <w:left w:val="none" w:sz="0" w:space="0" w:color="auto"/>
        <w:bottom w:val="none" w:sz="0" w:space="0" w:color="auto"/>
        <w:right w:val="none" w:sz="0" w:space="0" w:color="auto"/>
      </w:divBdr>
    </w:div>
    <w:div w:id="1159226507">
      <w:bodyDiv w:val="1"/>
      <w:marLeft w:val="0"/>
      <w:marRight w:val="0"/>
      <w:marTop w:val="0"/>
      <w:marBottom w:val="0"/>
      <w:divBdr>
        <w:top w:val="none" w:sz="0" w:space="0" w:color="auto"/>
        <w:left w:val="none" w:sz="0" w:space="0" w:color="auto"/>
        <w:bottom w:val="none" w:sz="0" w:space="0" w:color="auto"/>
        <w:right w:val="none" w:sz="0" w:space="0" w:color="auto"/>
      </w:divBdr>
      <w:divsChild>
        <w:div w:id="462118830">
          <w:marLeft w:val="0"/>
          <w:marRight w:val="0"/>
          <w:marTop w:val="0"/>
          <w:marBottom w:val="0"/>
          <w:divBdr>
            <w:top w:val="none" w:sz="0" w:space="0" w:color="auto"/>
            <w:left w:val="none" w:sz="0" w:space="0" w:color="auto"/>
            <w:bottom w:val="none" w:sz="0" w:space="0" w:color="auto"/>
            <w:right w:val="none" w:sz="0" w:space="0" w:color="auto"/>
          </w:divBdr>
          <w:divsChild>
            <w:div w:id="901719660">
              <w:marLeft w:val="0"/>
              <w:marRight w:val="0"/>
              <w:marTop w:val="0"/>
              <w:marBottom w:val="0"/>
              <w:divBdr>
                <w:top w:val="none" w:sz="0" w:space="0" w:color="auto"/>
                <w:left w:val="none" w:sz="0" w:space="0" w:color="auto"/>
                <w:bottom w:val="none" w:sz="0" w:space="0" w:color="auto"/>
                <w:right w:val="none" w:sz="0" w:space="0" w:color="auto"/>
              </w:divBdr>
              <w:divsChild>
                <w:div w:id="677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2131">
      <w:bodyDiv w:val="1"/>
      <w:marLeft w:val="0"/>
      <w:marRight w:val="0"/>
      <w:marTop w:val="0"/>
      <w:marBottom w:val="0"/>
      <w:divBdr>
        <w:top w:val="none" w:sz="0" w:space="0" w:color="auto"/>
        <w:left w:val="none" w:sz="0" w:space="0" w:color="auto"/>
        <w:bottom w:val="none" w:sz="0" w:space="0" w:color="auto"/>
        <w:right w:val="none" w:sz="0" w:space="0" w:color="auto"/>
      </w:divBdr>
    </w:div>
    <w:div w:id="184643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A46A321A713140A9CB94421FEF0186"/>
        <w:category>
          <w:name w:val="Generale"/>
          <w:gallery w:val="placeholder"/>
        </w:category>
        <w:types>
          <w:type w:val="bbPlcHdr"/>
        </w:types>
        <w:behaviors>
          <w:behavior w:val="content"/>
        </w:behaviors>
        <w:guid w:val="{6FF5AD65-492E-4440-918F-C14509B87E10}"/>
      </w:docPartPr>
      <w:docPartBody>
        <w:p w:rsidR="00FC0CF0" w:rsidRDefault="00336FA1" w:rsidP="00336FA1">
          <w:pPr>
            <w:pStyle w:val="B4A46A321A713140A9CB94421FEF0186"/>
          </w:pPr>
          <w:r w:rsidRPr="002D17A6">
            <w:rPr>
              <w:color w:val="4472C4" w:themeColor="accent1"/>
              <w:spacing w:val="20"/>
              <w:sz w:val="28"/>
            </w:rPr>
            <w:t>[Titolo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OldStyle">
    <w:altName w:val="Cambria"/>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A1"/>
    <w:rsid w:val="000B237B"/>
    <w:rsid w:val="00151FD6"/>
    <w:rsid w:val="00221037"/>
    <w:rsid w:val="002B28B9"/>
    <w:rsid w:val="00336FA1"/>
    <w:rsid w:val="00350640"/>
    <w:rsid w:val="00473619"/>
    <w:rsid w:val="005A0AC0"/>
    <w:rsid w:val="00674E9A"/>
    <w:rsid w:val="00812185"/>
    <w:rsid w:val="008B31AE"/>
    <w:rsid w:val="00B860C6"/>
    <w:rsid w:val="00BB3DF6"/>
    <w:rsid w:val="00C2300E"/>
    <w:rsid w:val="00C76D5C"/>
    <w:rsid w:val="00D40BF9"/>
    <w:rsid w:val="00E33D7A"/>
    <w:rsid w:val="00E63BDE"/>
    <w:rsid w:val="00ED1BEE"/>
    <w:rsid w:val="00EE1FEF"/>
    <w:rsid w:val="00FC0CF0"/>
    <w:rsid w:val="00FF0B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4A46A321A713140A9CB94421FEF0186">
    <w:name w:val="B4A46A321A713140A9CB94421FEF0186"/>
    <w:rsid w:val="00336F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E9932-D193-40B5-B920-28023AB4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12606</Words>
  <Characters>71856</Characters>
  <Application>Microsoft Office Word</Application>
  <DocSecurity>0</DocSecurity>
  <Lines>598</Lines>
  <Paragraphs>168</Paragraphs>
  <ScaleCrop>false</ScaleCrop>
  <HeadingPairs>
    <vt:vector size="2" baseType="variant">
      <vt:variant>
        <vt:lpstr>Titolo</vt:lpstr>
      </vt:variant>
      <vt:variant>
        <vt:i4>1</vt:i4>
      </vt:variant>
    </vt:vector>
  </HeadingPairs>
  <TitlesOfParts>
    <vt:vector size="1" baseType="lpstr">
      <vt:lpstr>PIANO NAZIONALE DI RIPRESA E RESILIENZA – FONDO COMPLEMENTARE                                                          Programma unitario di intervento – Interventi per le aree del terremoto del 2009 e 2016</vt:lpstr>
    </vt:vector>
  </TitlesOfParts>
  <Company/>
  <LinksUpToDate>false</LinksUpToDate>
  <CharactersWithSpaces>84294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NAZIONALE DI RIPRESA E RESILIENZA – FONDO COMPLEMENTARE                                                          Programma unitario di intervento – Interventi per le aree del terremoto del 2009 e 2016</dc:title>
  <dc:subject/>
  <dc:creator>User</dc:creator>
  <cp:keywords/>
  <dc:description/>
  <cp:lastModifiedBy>Daniela Aiuto</cp:lastModifiedBy>
  <cp:revision>5</cp:revision>
  <cp:lastPrinted>2021-09-08T13:43:00Z</cp:lastPrinted>
  <dcterms:created xsi:type="dcterms:W3CDTF">2021-09-30T10:35:00Z</dcterms:created>
  <dcterms:modified xsi:type="dcterms:W3CDTF">2021-09-30T12:29:00Z</dcterms:modified>
</cp:coreProperties>
</file>