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2236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41"/>
        <w:gridCol w:w="13324"/>
        <w:gridCol w:w="4296"/>
      </w:tblGrid>
      <w:tr w:rsidR="004E6E50" w14:paraId="4BCDF532" w14:textId="77777777" w:rsidTr="00E234EE">
        <w:trPr>
          <w:trHeight w:val="2190"/>
        </w:trPr>
        <w:tc>
          <w:tcPr>
            <w:tcW w:w="4741"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14:paraId="1E1D0849" w14:textId="4105424D" w:rsidR="004E6E50" w:rsidRPr="00E234EE" w:rsidRDefault="00B05403">
            <w:pPr>
              <w:jc w:val="center"/>
              <w:rPr>
                <w:sz w:val="36"/>
              </w:rPr>
            </w:pPr>
            <w:r w:rsidRPr="00E234EE">
              <w:rPr>
                <w:b/>
                <w:bCs/>
                <w:sz w:val="36"/>
              </w:rPr>
              <w:t>MACRO</w:t>
            </w:r>
            <w:r w:rsidR="00E234EE" w:rsidRPr="00E234EE">
              <w:rPr>
                <w:b/>
                <w:bCs/>
                <w:sz w:val="36"/>
              </w:rPr>
              <w:t xml:space="preserve"> </w:t>
            </w:r>
            <w:r w:rsidRPr="00E234EE">
              <w:rPr>
                <w:b/>
                <w:bCs/>
                <w:sz w:val="36"/>
              </w:rPr>
              <w:t>MISURA A</w:t>
            </w:r>
          </w:p>
        </w:tc>
        <w:tc>
          <w:tcPr>
            <w:tcW w:w="13324"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14:paraId="5AD3A339" w14:textId="77777777" w:rsidR="004E6E50" w:rsidRPr="00E234EE" w:rsidRDefault="00B05403">
            <w:pPr>
              <w:spacing w:after="0" w:line="240" w:lineRule="auto"/>
              <w:jc w:val="center"/>
              <w:rPr>
                <w:sz w:val="36"/>
              </w:rPr>
            </w:pPr>
            <w:r w:rsidRPr="00E234EE">
              <w:rPr>
                <w:b/>
                <w:bCs/>
                <w:sz w:val="36"/>
              </w:rPr>
              <w:t>FINALITÀ GENERALI</w:t>
            </w:r>
          </w:p>
        </w:tc>
        <w:tc>
          <w:tcPr>
            <w:tcW w:w="4296"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14:paraId="04299F39" w14:textId="77777777" w:rsidR="004E6E50" w:rsidRPr="00E234EE" w:rsidRDefault="00B05403">
            <w:pPr>
              <w:spacing w:after="0" w:line="240" w:lineRule="auto"/>
              <w:jc w:val="center"/>
              <w:rPr>
                <w:sz w:val="36"/>
              </w:rPr>
            </w:pPr>
            <w:r w:rsidRPr="00E234EE">
              <w:rPr>
                <w:b/>
                <w:bCs/>
                <w:sz w:val="36"/>
              </w:rPr>
              <w:t>RISORSE (MLN €)</w:t>
            </w:r>
          </w:p>
        </w:tc>
      </w:tr>
      <w:tr w:rsidR="004E6E50" w14:paraId="66D69407" w14:textId="77777777" w:rsidTr="00E234EE">
        <w:trPr>
          <w:trHeight w:val="4065"/>
        </w:trPr>
        <w:tc>
          <w:tcPr>
            <w:tcW w:w="474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63195744" w14:textId="77777777" w:rsidR="00E234EE" w:rsidRDefault="00B05403">
            <w:pPr>
              <w:spacing w:after="0" w:line="240" w:lineRule="auto"/>
              <w:jc w:val="center"/>
              <w:rPr>
                <w:b/>
                <w:bCs/>
                <w:sz w:val="32"/>
              </w:rPr>
            </w:pPr>
            <w:r w:rsidRPr="00E234EE">
              <w:rPr>
                <w:b/>
                <w:bCs/>
                <w:sz w:val="32"/>
              </w:rPr>
              <w:t xml:space="preserve">CITTÀ E PAESI SICURI, </w:t>
            </w:r>
          </w:p>
          <w:p w14:paraId="37444E70" w14:textId="14BAF36D" w:rsidR="004E6E50" w:rsidRPr="00E234EE" w:rsidRDefault="00B05403">
            <w:pPr>
              <w:spacing w:after="0" w:line="240" w:lineRule="auto"/>
              <w:jc w:val="center"/>
              <w:rPr>
                <w:sz w:val="28"/>
              </w:rPr>
            </w:pPr>
            <w:r w:rsidRPr="00E234EE">
              <w:rPr>
                <w:b/>
                <w:bCs/>
                <w:sz w:val="32"/>
              </w:rPr>
              <w:t>SOSTENIBILI E CONNESSI</w:t>
            </w:r>
          </w:p>
        </w:tc>
        <w:tc>
          <w:tcPr>
            <w:tcW w:w="13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81FF45" w14:textId="500258EE" w:rsidR="004E6E50" w:rsidRPr="00E234EE" w:rsidRDefault="00B05403" w:rsidP="00E234EE">
            <w:pPr>
              <w:spacing w:before="120" w:after="120" w:line="240" w:lineRule="auto"/>
              <w:jc w:val="both"/>
              <w:rPr>
                <w:sz w:val="32"/>
                <w:szCs w:val="32"/>
              </w:rPr>
            </w:pPr>
            <w:r w:rsidRPr="00E234EE">
              <w:rPr>
                <w:sz w:val="32"/>
                <w:szCs w:val="32"/>
              </w:rPr>
              <w:t xml:space="preserve">Gli interventi della </w:t>
            </w:r>
            <w:proofErr w:type="spellStart"/>
            <w:r w:rsidRPr="00E234EE">
              <w:rPr>
                <w:sz w:val="32"/>
                <w:szCs w:val="32"/>
              </w:rPr>
              <w:t>Macromisura</w:t>
            </w:r>
            <w:proofErr w:type="spellEnd"/>
            <w:r w:rsidRPr="00E234EE">
              <w:rPr>
                <w:sz w:val="32"/>
                <w:szCs w:val="32"/>
              </w:rPr>
              <w:t xml:space="preserve"> A </w:t>
            </w:r>
            <w:r w:rsidR="00E234EE">
              <w:rPr>
                <w:sz w:val="32"/>
                <w:szCs w:val="32"/>
              </w:rPr>
              <w:t>“</w:t>
            </w:r>
            <w:r w:rsidRPr="00E234EE">
              <w:rPr>
                <w:sz w:val="32"/>
                <w:szCs w:val="32"/>
              </w:rPr>
              <w:t>Città e paesi sicuri, sostenibili e connessi</w:t>
            </w:r>
            <w:r w:rsidR="00E234EE">
              <w:rPr>
                <w:sz w:val="32"/>
                <w:szCs w:val="32"/>
              </w:rPr>
              <w:t>”</w:t>
            </w:r>
            <w:r w:rsidRPr="00E234EE">
              <w:rPr>
                <w:sz w:val="32"/>
                <w:szCs w:val="32"/>
              </w:rPr>
              <w:t xml:space="preserve"> intendono accrescere l’attrattività delle aree fragili dell’Appennino centrale attraverso l’innalzamento della sicurezza degli edifici, delle comunità e del territorio, e il miglioramento della qualità della vita degli abitanti, così da determinare le condizioni infrastrutturali e di sistema idonee allo sviluppo. Le misure contemplano opere complementari ma strutturali per la transizione verso sistemi sostenibili in aderenza agli obiettivi del New Green Deal in merito alla transizione green e a quella digitale.</w:t>
            </w:r>
          </w:p>
        </w:tc>
        <w:tc>
          <w:tcPr>
            <w:tcW w:w="4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2AD913" w14:textId="77777777" w:rsidR="004E6E50" w:rsidRPr="00E234EE" w:rsidRDefault="00B05403">
            <w:pPr>
              <w:jc w:val="center"/>
              <w:rPr>
                <w:sz w:val="28"/>
              </w:rPr>
            </w:pPr>
            <w:r w:rsidRPr="00E234EE">
              <w:rPr>
                <w:sz w:val="28"/>
              </w:rPr>
              <w:t>1.080</w:t>
            </w:r>
          </w:p>
        </w:tc>
      </w:tr>
    </w:tbl>
    <w:p w14:paraId="508D64EE" w14:textId="77777777" w:rsidR="004E6E50" w:rsidRDefault="004E6E50"/>
    <w:p w14:paraId="6453301C" w14:textId="26865440" w:rsidR="008E6F9B" w:rsidRDefault="008E6F9B" w:rsidP="008E6F9B">
      <w:pPr>
        <w:tabs>
          <w:tab w:val="left" w:pos="2013"/>
        </w:tabs>
      </w:pPr>
    </w:p>
    <w:p w14:paraId="58E7B390" w14:textId="6669817B" w:rsidR="008E6F9B" w:rsidRPr="008E6F9B" w:rsidRDefault="008E6F9B" w:rsidP="008E6F9B">
      <w:pPr>
        <w:tabs>
          <w:tab w:val="left" w:pos="2013"/>
        </w:tabs>
        <w:sectPr w:rsidR="008E6F9B" w:rsidRPr="008E6F9B" w:rsidSect="008E6F9B">
          <w:headerReference w:type="default" r:id="rId7"/>
          <w:footerReference w:type="default" r:id="rId8"/>
          <w:pgSz w:w="23820" w:h="16840" w:orient="landscape"/>
          <w:pgMar w:top="720" w:right="720" w:bottom="649" w:left="720" w:header="720" w:footer="720" w:gutter="0"/>
          <w:pgNumType w:start="1"/>
          <w:cols w:space="720"/>
        </w:sectPr>
      </w:pPr>
      <w:r>
        <w:tab/>
      </w:r>
    </w:p>
    <w:tbl>
      <w:tblPr>
        <w:tblStyle w:val="TableNormal"/>
        <w:tblW w:w="2236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5"/>
        <w:gridCol w:w="4950"/>
        <w:gridCol w:w="10710"/>
        <w:gridCol w:w="2880"/>
        <w:gridCol w:w="1846"/>
      </w:tblGrid>
      <w:tr w:rsidR="004E6E50" w14:paraId="32185196" w14:textId="77777777">
        <w:trPr>
          <w:trHeight w:val="299"/>
        </w:trPr>
        <w:tc>
          <w:tcPr>
            <w:tcW w:w="1975"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4BE08B54" w14:textId="77777777" w:rsidR="004E6E50" w:rsidRDefault="00B05403">
            <w:pPr>
              <w:spacing w:after="0" w:line="240" w:lineRule="auto"/>
              <w:jc w:val="center"/>
            </w:pPr>
            <w:r>
              <w:rPr>
                <w:b/>
                <w:bCs/>
              </w:rPr>
              <w:lastRenderedPageBreak/>
              <w:t>SUB-MISURA A1</w:t>
            </w:r>
          </w:p>
        </w:tc>
        <w:tc>
          <w:tcPr>
            <w:tcW w:w="495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004E0490" w14:textId="77777777" w:rsidR="004E6E50" w:rsidRDefault="00B05403">
            <w:pPr>
              <w:spacing w:after="0" w:line="240" w:lineRule="auto"/>
              <w:jc w:val="center"/>
            </w:pPr>
            <w:r>
              <w:rPr>
                <w:b/>
                <w:bCs/>
              </w:rPr>
              <w:t>FINALITÀ SPECIFICHE</w:t>
            </w:r>
          </w:p>
        </w:tc>
        <w:tc>
          <w:tcPr>
            <w:tcW w:w="1071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4C11C321" w14:textId="77777777" w:rsidR="004E6E50" w:rsidRDefault="00B05403">
            <w:pPr>
              <w:spacing w:after="0" w:line="240" w:lineRule="auto"/>
              <w:jc w:val="center"/>
            </w:pPr>
            <w:r>
              <w:rPr>
                <w:b/>
                <w:bCs/>
              </w:rPr>
              <w:t>OBIETTIVO DI REALIZZAZIONE</w:t>
            </w:r>
          </w:p>
        </w:tc>
        <w:tc>
          <w:tcPr>
            <w:tcW w:w="288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6077B961" w14:textId="77777777" w:rsidR="004E6E50" w:rsidRDefault="00B05403">
            <w:pPr>
              <w:spacing w:after="0" w:line="240" w:lineRule="auto"/>
              <w:jc w:val="center"/>
            </w:pPr>
            <w:r>
              <w:rPr>
                <w:b/>
                <w:bCs/>
              </w:rPr>
              <w:t>RESPONSABILE ATTUAZIONE</w:t>
            </w:r>
          </w:p>
        </w:tc>
        <w:tc>
          <w:tcPr>
            <w:tcW w:w="184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6C0FB825" w14:textId="77777777" w:rsidR="004E6E50" w:rsidRDefault="00B05403">
            <w:pPr>
              <w:spacing w:after="0" w:line="240" w:lineRule="auto"/>
              <w:jc w:val="center"/>
            </w:pPr>
            <w:r>
              <w:rPr>
                <w:b/>
                <w:bCs/>
              </w:rPr>
              <w:t>RISORSE (MLN €)</w:t>
            </w:r>
          </w:p>
        </w:tc>
      </w:tr>
      <w:tr w:rsidR="004E6E50" w14:paraId="699C814C" w14:textId="77777777" w:rsidTr="008E6F9B">
        <w:trPr>
          <w:trHeight w:val="2551"/>
        </w:trPr>
        <w:tc>
          <w:tcPr>
            <w:tcW w:w="1975" w:type="dxa"/>
            <w:vMerge w:val="restart"/>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69FEC1EE" w14:textId="77777777" w:rsidR="004E6E50" w:rsidRPr="00E234EE" w:rsidRDefault="00B05403" w:rsidP="00E234EE">
            <w:pPr>
              <w:spacing w:before="120" w:after="120" w:line="240" w:lineRule="auto"/>
              <w:jc w:val="center"/>
              <w:rPr>
                <w:b/>
                <w:bCs/>
                <w:sz w:val="24"/>
                <w:szCs w:val="24"/>
              </w:rPr>
            </w:pPr>
            <w:r w:rsidRPr="00E234EE">
              <w:rPr>
                <w:b/>
                <w:bCs/>
                <w:sz w:val="24"/>
                <w:szCs w:val="24"/>
              </w:rPr>
              <w:t>A1</w:t>
            </w:r>
          </w:p>
          <w:p w14:paraId="6D62AA84" w14:textId="77777777" w:rsidR="004E6E50" w:rsidRDefault="00B05403" w:rsidP="00E234EE">
            <w:pPr>
              <w:spacing w:before="120" w:after="120" w:line="240" w:lineRule="auto"/>
              <w:jc w:val="center"/>
            </w:pPr>
            <w:r w:rsidRPr="00E234EE">
              <w:rPr>
                <w:b/>
                <w:bCs/>
                <w:sz w:val="24"/>
                <w:szCs w:val="24"/>
              </w:rPr>
              <w:t>INNOVAZIONE DIGITALE</w:t>
            </w:r>
          </w:p>
        </w:tc>
        <w:tc>
          <w:tcPr>
            <w:tcW w:w="49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468BC" w14:textId="6F0108A8" w:rsidR="004E6E50" w:rsidRDefault="00B05403" w:rsidP="00E234EE">
            <w:pPr>
              <w:spacing w:before="120" w:after="120" w:line="240" w:lineRule="auto"/>
              <w:jc w:val="both"/>
            </w:pPr>
            <w:r>
              <w:t>La sub-misura A1 mira a diffondere nuove modalità di connessione digitale, grazie anche alla banda larga e alla rete 5G (già in corso di realizzazione con altri fondi), e a supportare dal punto di vista informatico la gestione integrata ambientale degli spazi pubblici della città e del contesto territoriale, per favorire un minore dispendio di energia e potenziare i servizi digitali (in ragione delle particolari caratteristiche del territorio appenninico dell'Italia centrale), favorendo così la transizione verde e digitale. Si prevede pertanto la realizzazione di sistemi informativi (piattaforme telematiche) per la gestione digitale di servizi anche introducendo l'utilizzo di tecnologie innovative quali la blockchain</w:t>
            </w:r>
            <w:r w:rsidR="000F3365">
              <w:t>.</w:t>
            </w:r>
          </w:p>
          <w:p w14:paraId="5EA2EBF5" w14:textId="5A8F8BDC" w:rsidR="004E6E50" w:rsidRDefault="000F3365" w:rsidP="00E234EE">
            <w:pPr>
              <w:spacing w:before="120" w:after="120" w:line="240" w:lineRule="auto"/>
              <w:jc w:val="both"/>
            </w:pPr>
            <w:r>
              <w:t>Nello specifico</w:t>
            </w:r>
            <w:r w:rsidR="00B05403">
              <w:t xml:space="preserve">, verranno perseguite le seguenti finalità specifiche: </w:t>
            </w:r>
          </w:p>
          <w:p w14:paraId="2B42F2FE" w14:textId="008DED37" w:rsidR="004E6E50" w:rsidRDefault="00B05403" w:rsidP="00E234EE">
            <w:pPr>
              <w:pStyle w:val="Paragrafoelenco"/>
              <w:numPr>
                <w:ilvl w:val="0"/>
                <w:numId w:val="1"/>
              </w:numPr>
              <w:spacing w:before="120" w:after="120" w:line="240" w:lineRule="auto"/>
              <w:jc w:val="both"/>
            </w:pPr>
            <w:r>
              <w:t>potenziare l'infrastrutturazione di base finalizzata all'aumento della resilienza della comunicazione e dei servizi;</w:t>
            </w:r>
          </w:p>
          <w:p w14:paraId="4270BDB6" w14:textId="14F5C5B2" w:rsidR="004E6E50" w:rsidRDefault="00B05403" w:rsidP="00E234EE">
            <w:pPr>
              <w:pStyle w:val="Paragrafoelenco"/>
              <w:numPr>
                <w:ilvl w:val="0"/>
                <w:numId w:val="1"/>
              </w:numPr>
              <w:spacing w:before="120" w:after="120" w:line="240" w:lineRule="auto"/>
              <w:jc w:val="both"/>
            </w:pPr>
            <w:r>
              <w:t xml:space="preserve">introdurre tecnologie digitali innovative che offrano maggiore efficienza e capacità preventive; </w:t>
            </w:r>
          </w:p>
          <w:p w14:paraId="7A2AB4DF" w14:textId="305BD9AF" w:rsidR="004E6E50" w:rsidRDefault="00B05403" w:rsidP="00E234EE">
            <w:pPr>
              <w:pStyle w:val="Paragrafoelenco"/>
              <w:numPr>
                <w:ilvl w:val="0"/>
                <w:numId w:val="1"/>
              </w:numPr>
              <w:spacing w:before="120" w:after="120" w:line="240" w:lineRule="auto"/>
              <w:jc w:val="both"/>
            </w:pPr>
            <w:r>
              <w:t xml:space="preserve">garantire servizi efficienti ai cittadini e alle imprese; </w:t>
            </w:r>
          </w:p>
          <w:p w14:paraId="5369D356" w14:textId="4FF5570E" w:rsidR="004E6E50" w:rsidRDefault="00B05403" w:rsidP="00E234EE">
            <w:pPr>
              <w:pStyle w:val="Paragrafoelenco"/>
              <w:numPr>
                <w:ilvl w:val="0"/>
                <w:numId w:val="1"/>
              </w:numPr>
              <w:spacing w:before="120" w:after="120" w:line="240" w:lineRule="auto"/>
              <w:jc w:val="both"/>
            </w:pPr>
            <w:r>
              <w:t>avviare progetti di sistema per la realizzazione di "SMART CITIES - SMART LAND"</w:t>
            </w:r>
            <w:r w:rsidR="000F3365">
              <w:t>, in particolare attraverso la realizzazione di una piattaforma informatica SIT;</w:t>
            </w:r>
          </w:p>
        </w:tc>
        <w:tc>
          <w:tcPr>
            <w:tcW w:w="10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499C89" w14:textId="77777777" w:rsidR="00E234EE" w:rsidRDefault="00B05403" w:rsidP="00E234EE">
            <w:pPr>
              <w:spacing w:before="120" w:after="120" w:line="240" w:lineRule="auto"/>
              <w:jc w:val="both"/>
            </w:pPr>
            <w:r>
              <w:t xml:space="preserve">La sub-misura A1 intende contribuire, in maniera significativa, all'obiettivo di aumentare l'attrattività, la sostenibilità e l'accessibilità delle Aree Interne dell'Appennino centrale, eliminando le barriere materiali e immateriali che ne impediscono la piena fruizione da parte dei cittadini e dei turisti. In particolare, attraverso l'applicazione dell'IoT (Internet of Things), si favorisce l'implementazione delle relazioni tra le persone e l'ambiente circostante, sia indoor che outdoor, adattando ambiente e infrastrutture alle esigenze degli utenti e viceversa. Scopo fondamentale della sub-misura è la prevenzione. La sub-misura prevede l'introduzione, ove opportuno, di tecnologie innovative come la blockchain al fine di aumentare l'efficienza, la resilienza, la sicurezza e la condivisione dei servizi e dei contenuti digitali, nonché la partecipazione dei cittadini al rilevamento dati e all'utilizzo dei servizi a fini preventivi. </w:t>
            </w:r>
          </w:p>
          <w:p w14:paraId="1DDD5BB1" w14:textId="0D1B2ABA" w:rsidR="004E6E50" w:rsidRDefault="00B05403" w:rsidP="00E234EE">
            <w:pPr>
              <w:spacing w:before="120" w:after="120" w:line="240" w:lineRule="auto"/>
              <w:jc w:val="both"/>
            </w:pPr>
            <w:r>
              <w:t>Al fine di raggiungere questo obiettivo realizzativo, si prevedono i seguenti</w:t>
            </w:r>
            <w:r w:rsidR="00C63E05">
              <w:t xml:space="preserve"> interventi</w:t>
            </w:r>
            <w:r>
              <w:t xml:space="preserve">: </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1359C9" w14:textId="77777777" w:rsidR="004E6E50" w:rsidRDefault="00B05403" w:rsidP="00E234EE">
            <w:pPr>
              <w:spacing w:before="120" w:after="120" w:line="240" w:lineRule="auto"/>
              <w:jc w:val="center"/>
            </w:pPr>
            <w:r>
              <w:t>Ufficio del Commissario straordinario per il sisma 2016 e Struttura di missione per il sisma 2009, in funzione del territorio di competenza</w:t>
            </w:r>
          </w:p>
        </w:tc>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684E9C" w14:textId="4638A84B" w:rsidR="004E6E50" w:rsidRDefault="00225E38" w:rsidP="00E234EE">
            <w:pPr>
              <w:spacing w:before="120" w:after="120" w:line="240" w:lineRule="auto"/>
              <w:jc w:val="center"/>
            </w:pPr>
            <w:r>
              <w:rPr>
                <w:sz w:val="28"/>
              </w:rPr>
              <w:t>185</w:t>
            </w:r>
          </w:p>
        </w:tc>
      </w:tr>
      <w:tr w:rsidR="004E6E50" w14:paraId="102235B0" w14:textId="77777777" w:rsidTr="00B261EB">
        <w:trPr>
          <w:trHeight w:val="1462"/>
        </w:trPr>
        <w:tc>
          <w:tcPr>
            <w:tcW w:w="1975" w:type="dxa"/>
            <w:vMerge/>
            <w:tcBorders>
              <w:top w:val="single" w:sz="4" w:space="0" w:color="000000"/>
              <w:left w:val="single" w:sz="4" w:space="0" w:color="000000"/>
              <w:bottom w:val="single" w:sz="4" w:space="0" w:color="000000"/>
              <w:right w:val="single" w:sz="4" w:space="0" w:color="000000"/>
            </w:tcBorders>
            <w:shd w:val="clear" w:color="auto" w:fill="D9E2F3"/>
          </w:tcPr>
          <w:p w14:paraId="34193D84" w14:textId="77777777" w:rsidR="004E6E50" w:rsidRDefault="004E6E50" w:rsidP="00E234EE">
            <w:pPr>
              <w:spacing w:before="120" w:after="120"/>
            </w:pPr>
          </w:p>
        </w:tc>
        <w:tc>
          <w:tcPr>
            <w:tcW w:w="4950" w:type="dxa"/>
            <w:vMerge/>
            <w:tcBorders>
              <w:top w:val="single" w:sz="4" w:space="0" w:color="000000"/>
              <w:left w:val="single" w:sz="4" w:space="0" w:color="000000"/>
              <w:bottom w:val="single" w:sz="4" w:space="0" w:color="000000"/>
              <w:right w:val="single" w:sz="4" w:space="0" w:color="000000"/>
            </w:tcBorders>
            <w:shd w:val="clear" w:color="auto" w:fill="auto"/>
          </w:tcPr>
          <w:p w14:paraId="4759C2ED" w14:textId="77777777" w:rsidR="004E6E50" w:rsidRDefault="004E6E50" w:rsidP="00E234EE">
            <w:pPr>
              <w:spacing w:before="120" w:after="120"/>
            </w:pPr>
          </w:p>
        </w:tc>
        <w:tc>
          <w:tcPr>
            <w:tcW w:w="10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97CCFF" w14:textId="77777777" w:rsidR="004E6E50" w:rsidRDefault="00B05403" w:rsidP="00E234EE">
            <w:pPr>
              <w:spacing w:before="120" w:after="120" w:line="240" w:lineRule="auto"/>
              <w:jc w:val="both"/>
            </w:pPr>
            <w:r w:rsidRPr="00E234EE">
              <w:rPr>
                <w:b/>
                <w:bCs/>
                <w:sz w:val="24"/>
              </w:rPr>
              <w:t>1. potenziamento dell'infrastrutturazione di base finalizzata all'aumento della resilienza della comunicazione</w:t>
            </w:r>
            <w:r w:rsidRPr="00E234EE">
              <w:rPr>
                <w:sz w:val="24"/>
              </w:rPr>
              <w:t xml:space="preserve"> </w:t>
            </w:r>
            <w:r>
              <w:t>e ad ospitare la dotazione dell'IoT avanzata per l'ampliamento dei servizi finalizzati al rafforzamento della resilienza delle comunità (i.e. progettazione, autorizzazione, installazione, gestione e manutenzione di una rete radiomobile a banda larga e ultralarga, con particolare attenzione alle aree morfologicamente meno raggiungibili dagli interventi ordinari), per un costo totale di 25 MLN;</w:t>
            </w:r>
          </w:p>
        </w:tc>
        <w:tc>
          <w:tcPr>
            <w:tcW w:w="2880" w:type="dxa"/>
            <w:vMerge/>
            <w:tcBorders>
              <w:top w:val="single" w:sz="4" w:space="0" w:color="000000"/>
              <w:left w:val="single" w:sz="4" w:space="0" w:color="000000"/>
              <w:bottom w:val="single" w:sz="4" w:space="0" w:color="000000"/>
              <w:right w:val="single" w:sz="4" w:space="0" w:color="000000"/>
            </w:tcBorders>
            <w:shd w:val="clear" w:color="auto" w:fill="auto"/>
          </w:tcPr>
          <w:p w14:paraId="2FA036BE" w14:textId="77777777" w:rsidR="004E6E50" w:rsidRDefault="004E6E50" w:rsidP="00E234EE">
            <w:pPr>
              <w:spacing w:before="120" w:after="120"/>
            </w:pP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Pr>
          <w:p w14:paraId="3060E447" w14:textId="77777777" w:rsidR="004E6E50" w:rsidRDefault="004E6E50" w:rsidP="00E234EE">
            <w:pPr>
              <w:spacing w:before="120" w:after="120"/>
            </w:pPr>
          </w:p>
        </w:tc>
      </w:tr>
      <w:tr w:rsidR="004E6E50" w14:paraId="291AE961" w14:textId="77777777" w:rsidTr="008E6F9B">
        <w:trPr>
          <w:trHeight w:val="5419"/>
        </w:trPr>
        <w:tc>
          <w:tcPr>
            <w:tcW w:w="1975" w:type="dxa"/>
            <w:vMerge/>
            <w:tcBorders>
              <w:top w:val="single" w:sz="4" w:space="0" w:color="000000"/>
              <w:left w:val="single" w:sz="4" w:space="0" w:color="000000"/>
              <w:bottom w:val="single" w:sz="4" w:space="0" w:color="000000"/>
              <w:right w:val="single" w:sz="4" w:space="0" w:color="000000"/>
            </w:tcBorders>
            <w:shd w:val="clear" w:color="auto" w:fill="D9E2F3"/>
          </w:tcPr>
          <w:p w14:paraId="0B7255C4" w14:textId="77777777" w:rsidR="004E6E50" w:rsidRDefault="004E6E50" w:rsidP="00E234EE">
            <w:pPr>
              <w:spacing w:before="120" w:after="120"/>
            </w:pPr>
          </w:p>
        </w:tc>
        <w:tc>
          <w:tcPr>
            <w:tcW w:w="4950" w:type="dxa"/>
            <w:vMerge/>
            <w:tcBorders>
              <w:top w:val="single" w:sz="4" w:space="0" w:color="000000"/>
              <w:left w:val="single" w:sz="4" w:space="0" w:color="000000"/>
              <w:bottom w:val="single" w:sz="4" w:space="0" w:color="000000"/>
              <w:right w:val="single" w:sz="4" w:space="0" w:color="000000"/>
            </w:tcBorders>
            <w:shd w:val="clear" w:color="auto" w:fill="auto"/>
          </w:tcPr>
          <w:p w14:paraId="3C50F5DA" w14:textId="77777777" w:rsidR="004E6E50" w:rsidRDefault="004E6E50" w:rsidP="00E234EE">
            <w:pPr>
              <w:spacing w:before="120" w:after="120"/>
            </w:pPr>
          </w:p>
        </w:tc>
        <w:tc>
          <w:tcPr>
            <w:tcW w:w="10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F48823" w14:textId="77777777" w:rsidR="004E6E50" w:rsidRDefault="00B05403" w:rsidP="00E234EE">
            <w:pPr>
              <w:spacing w:before="120" w:after="120" w:line="240" w:lineRule="auto"/>
              <w:jc w:val="both"/>
            </w:pPr>
            <w:r w:rsidRPr="00E234EE">
              <w:rPr>
                <w:b/>
                <w:bCs/>
                <w:sz w:val="24"/>
              </w:rPr>
              <w:t>2. realizzazione di sistemi informativi (piattaforme telematiche) per la gestione digitale in tempo reale di servizi</w:t>
            </w:r>
            <w:r w:rsidRPr="00E234EE">
              <w:rPr>
                <w:sz w:val="24"/>
              </w:rPr>
              <w:t xml:space="preserve"> </w:t>
            </w:r>
            <w:r>
              <w:t xml:space="preserve">anche introducendo l'utilizzo di tecnologie innovative quali la blockchain (e.g. monitoraggio delle strutture e infrastrutture strategiche finalizzato alla sicurezza e alla prevenzione; monitoraggio sismico; controllo dell'organizzazione dei cantieri finalizzata alle verifiche rispondenti al protocollo di legalità siglato tra Commissario e Prefetture e da siglare tra Struttura di missione e Prefetture; gestione dei rifiuti finalizzata al controllo delle macerie e dei rifiuti solidi urbani; qualità dell'aria, outdoor e indoor, e dell'acqua, anche potabile; sistemi d'interazione per la gestione della mobilità con particolare riferimento al TPL (con forme innovative di micro-mobilità o mobilità come servizio - </w:t>
            </w:r>
            <w:proofErr w:type="spellStart"/>
            <w:r>
              <w:t>MaaS</w:t>
            </w:r>
            <w:proofErr w:type="spellEnd"/>
            <w:r>
              <w:t xml:space="preserve">); controllo dei livelli idrometrici dei corsi d'acqua; coordinamento delle reti elettrica e termica al servizio di edifici e infrastrutture; riorganizzazione del sistema dei Beni Culturali finalizzato alla valorizzazione del patrimonio; revisione delle tecnologie usate per il catasto). Il sistema informativo si attua attraverso le seguenti tipologie di sensori che riguardano in particolare: sensori sismici applicati agli edifici e alle infrastrutture strategiche; sensori di controllo presenze e accessi per la sicurezza dei cantieri; sensori </w:t>
            </w:r>
            <w:proofErr w:type="spellStart"/>
            <w:r>
              <w:t>smart</w:t>
            </w:r>
            <w:proofErr w:type="spellEnd"/>
            <w:r>
              <w:t xml:space="preserve"> bin per il monitoraggio del livello di riempimento dei cassonetti e cestini per rifiuti oltre che sensori per il tracciamento delle macerie; sensori di misura della qualità dell'aria e delle acque; sensori per il conteggio del passaggio dei veicoli, sensori per l'acquisizione e la raccolta di dati sulla circolazione e i flussi di traffico finalizzati al monitoraggio della mobilità; sensori per il monitoraggio delle condizioni atmosferiche, in particolare temperatura, umidità, vento, monitoraggio incendi, precipitazioni meteoriche e di misura dei livelli idrometrici dei laghi e corsi d'acqua, sensori per la misura del livello di umidità dei terreni e dell'uso delle acque idriche superficiali; sensori </w:t>
            </w:r>
            <w:proofErr w:type="spellStart"/>
            <w:r>
              <w:t>smart</w:t>
            </w:r>
            <w:proofErr w:type="spellEnd"/>
            <w:r>
              <w:t xml:space="preserve"> parking; sensori di misura dei consumi energetici privati e pubblici. </w:t>
            </w:r>
          </w:p>
          <w:p w14:paraId="28175552" w14:textId="7F097E56" w:rsidR="004E6E50" w:rsidRDefault="00B05403" w:rsidP="00E234EE">
            <w:pPr>
              <w:spacing w:before="120" w:after="120" w:line="240" w:lineRule="auto"/>
              <w:jc w:val="both"/>
            </w:pPr>
            <w:r>
              <w:t>La stima del numero dei sensori è pari a 17000 con un costo medio di 3000,00 euro/</w:t>
            </w:r>
            <w:proofErr w:type="spellStart"/>
            <w:r>
              <w:t>cad</w:t>
            </w:r>
            <w:proofErr w:type="spellEnd"/>
            <w:r>
              <w:t xml:space="preserve"> che determina un costo complessivo di 50MLN. Il sistema infrastrutturale necessita di circa 30 console room (differenziate in funzione della tipologia di sensori) il cui costo complessivo è di 7 MLN. La stima del costo del software dell'intera piattaforma è pari a </w:t>
            </w:r>
            <w:r w:rsidR="00225E38">
              <w:t>80</w:t>
            </w:r>
            <w:r>
              <w:t xml:space="preserve">MLN di euro. La gestione </w:t>
            </w:r>
            <w:r w:rsidR="00696889">
              <w:t>della blockchain</w:t>
            </w:r>
            <w:r>
              <w:t xml:space="preserve"> è pari a 20 MLN.</w:t>
            </w:r>
          </w:p>
        </w:tc>
        <w:tc>
          <w:tcPr>
            <w:tcW w:w="2880" w:type="dxa"/>
            <w:vMerge/>
            <w:tcBorders>
              <w:top w:val="single" w:sz="4" w:space="0" w:color="000000"/>
              <w:left w:val="single" w:sz="4" w:space="0" w:color="000000"/>
              <w:bottom w:val="single" w:sz="4" w:space="0" w:color="000000"/>
              <w:right w:val="single" w:sz="4" w:space="0" w:color="000000"/>
            </w:tcBorders>
            <w:shd w:val="clear" w:color="auto" w:fill="auto"/>
          </w:tcPr>
          <w:p w14:paraId="223103E2" w14:textId="77777777" w:rsidR="004E6E50" w:rsidRDefault="004E6E50" w:rsidP="00E234EE">
            <w:pPr>
              <w:spacing w:before="120" w:after="120"/>
            </w:pP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Pr>
          <w:p w14:paraId="4D6EA774" w14:textId="77777777" w:rsidR="004E6E50" w:rsidRDefault="004E6E50" w:rsidP="00E234EE">
            <w:pPr>
              <w:spacing w:before="120" w:after="120"/>
            </w:pPr>
          </w:p>
        </w:tc>
      </w:tr>
      <w:tr w:rsidR="004E6E50" w14:paraId="0338785B" w14:textId="77777777" w:rsidTr="00696889">
        <w:trPr>
          <w:trHeight w:val="1666"/>
        </w:trPr>
        <w:tc>
          <w:tcPr>
            <w:tcW w:w="1975" w:type="dxa"/>
            <w:vMerge/>
            <w:tcBorders>
              <w:top w:val="single" w:sz="4" w:space="0" w:color="000000"/>
              <w:left w:val="single" w:sz="4" w:space="0" w:color="000000"/>
              <w:bottom w:val="single" w:sz="4" w:space="0" w:color="000000"/>
              <w:right w:val="single" w:sz="4" w:space="0" w:color="000000"/>
            </w:tcBorders>
            <w:shd w:val="clear" w:color="auto" w:fill="D9E2F3"/>
          </w:tcPr>
          <w:p w14:paraId="0877F8B9" w14:textId="77777777" w:rsidR="004E6E50" w:rsidRDefault="004E6E50" w:rsidP="00E234EE">
            <w:pPr>
              <w:spacing w:before="120" w:after="120"/>
            </w:pPr>
          </w:p>
        </w:tc>
        <w:tc>
          <w:tcPr>
            <w:tcW w:w="4950" w:type="dxa"/>
            <w:vMerge/>
            <w:tcBorders>
              <w:top w:val="single" w:sz="4" w:space="0" w:color="000000"/>
              <w:left w:val="single" w:sz="4" w:space="0" w:color="000000"/>
              <w:bottom w:val="single" w:sz="4" w:space="0" w:color="000000"/>
              <w:right w:val="single" w:sz="4" w:space="0" w:color="000000"/>
            </w:tcBorders>
            <w:shd w:val="clear" w:color="auto" w:fill="auto"/>
          </w:tcPr>
          <w:p w14:paraId="7D8D7372" w14:textId="77777777" w:rsidR="004E6E50" w:rsidRDefault="004E6E50" w:rsidP="00E234EE">
            <w:pPr>
              <w:spacing w:before="120" w:after="120"/>
            </w:pPr>
          </w:p>
        </w:tc>
        <w:tc>
          <w:tcPr>
            <w:tcW w:w="10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C69C2" w14:textId="6922AC9B" w:rsidR="004E6E50" w:rsidRPr="00696889" w:rsidRDefault="00B05403" w:rsidP="00E234EE">
            <w:pPr>
              <w:spacing w:before="120" w:after="120" w:line="240" w:lineRule="auto"/>
              <w:jc w:val="both"/>
              <w:rPr>
                <w:color w:val="auto"/>
                <w:u w:color="FF2600"/>
              </w:rPr>
            </w:pPr>
            <w:r w:rsidRPr="00E234EE">
              <w:rPr>
                <w:b/>
                <w:bCs/>
                <w:sz w:val="24"/>
              </w:rPr>
              <w:t xml:space="preserve">3. </w:t>
            </w:r>
            <w:r w:rsidR="00EB7CFC">
              <w:rPr>
                <w:b/>
                <w:bCs/>
                <w:color w:val="auto"/>
                <w:sz w:val="24"/>
                <w:u w:color="FF2600"/>
              </w:rPr>
              <w:t>realizzazione di</w:t>
            </w:r>
            <w:r w:rsidRPr="00E234EE">
              <w:rPr>
                <w:b/>
                <w:bCs/>
                <w:color w:val="auto"/>
                <w:sz w:val="24"/>
                <w:u w:color="FF2600"/>
              </w:rPr>
              <w:t xml:space="preserve"> una piattaforma territoriale informatica (SIT)</w:t>
            </w:r>
            <w:r w:rsidRPr="00696889">
              <w:rPr>
                <w:color w:val="auto"/>
                <w:u w:color="FF2600"/>
              </w:rPr>
              <w:t xml:space="preserve"> in grado di restituire forme di conoscenza dello stato di territorio, ambiente e paesaggio e delle trasformazioni che ne determinano i diversi rapporti relazionali necessari alla progettazione, valutazione e gestione dei processi di governo del territorio,  agevolando il processo di trasformazione di territori vulnerabili in “SMART CITIES - SMART LAND”, limitando il consumo di suolo edificabile, agendo attraverso la opportuna integrazione degli interventi di cui alle sotto-misure A1, A2 e A3 (i.e. Progettazione preliminare, masterplan, organizzazione di forum e confronto con le comunità), per un costo totale di 3 MLN.</w:t>
            </w:r>
          </w:p>
        </w:tc>
        <w:tc>
          <w:tcPr>
            <w:tcW w:w="2880" w:type="dxa"/>
            <w:vMerge/>
            <w:tcBorders>
              <w:top w:val="single" w:sz="4" w:space="0" w:color="000000"/>
              <w:left w:val="single" w:sz="4" w:space="0" w:color="000000"/>
              <w:bottom w:val="single" w:sz="4" w:space="0" w:color="000000"/>
              <w:right w:val="single" w:sz="4" w:space="0" w:color="000000"/>
            </w:tcBorders>
            <w:shd w:val="clear" w:color="auto" w:fill="auto"/>
          </w:tcPr>
          <w:p w14:paraId="2F31FE36" w14:textId="77777777" w:rsidR="004E6E50" w:rsidRDefault="004E6E50" w:rsidP="00E234EE">
            <w:pPr>
              <w:spacing w:before="120" w:after="120"/>
            </w:pP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Pr>
          <w:p w14:paraId="2BF22314" w14:textId="77777777" w:rsidR="004E6E50" w:rsidRDefault="004E6E50" w:rsidP="00E234EE">
            <w:pPr>
              <w:spacing w:before="120" w:after="120"/>
            </w:pPr>
          </w:p>
        </w:tc>
      </w:tr>
    </w:tbl>
    <w:p w14:paraId="286DF67A" w14:textId="77777777" w:rsidR="004E6E50" w:rsidRDefault="004E6E50" w:rsidP="00E234EE">
      <w:pPr>
        <w:widowControl w:val="0"/>
        <w:spacing w:before="120" w:after="120" w:line="240" w:lineRule="auto"/>
        <w:ind w:left="108" w:hanging="108"/>
      </w:pPr>
    </w:p>
    <w:p w14:paraId="1D9581BD" w14:textId="77777777" w:rsidR="004E6E50" w:rsidRDefault="004E6E50" w:rsidP="00E234EE">
      <w:pPr>
        <w:widowControl w:val="0"/>
        <w:spacing w:before="120" w:after="120" w:line="240" w:lineRule="auto"/>
      </w:pPr>
    </w:p>
    <w:p w14:paraId="0B9EEADB" w14:textId="77777777" w:rsidR="004E6E50" w:rsidRDefault="004E6E50" w:rsidP="00E234EE">
      <w:pPr>
        <w:spacing w:before="120" w:after="120"/>
        <w:sectPr w:rsidR="004E6E50">
          <w:pgSz w:w="23820" w:h="16840" w:orient="landscape"/>
          <w:pgMar w:top="720" w:right="720" w:bottom="720" w:left="720" w:header="720" w:footer="720" w:gutter="0"/>
          <w:pgNumType w:start="1"/>
          <w:cols w:space="720"/>
        </w:sectPr>
      </w:pPr>
    </w:p>
    <w:tbl>
      <w:tblPr>
        <w:tblStyle w:val="TableNormal"/>
        <w:tblW w:w="2236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41"/>
        <w:gridCol w:w="4850"/>
        <w:gridCol w:w="10418"/>
        <w:gridCol w:w="2836"/>
        <w:gridCol w:w="1816"/>
      </w:tblGrid>
      <w:tr w:rsidR="004E6E50" w14:paraId="516BF6A6" w14:textId="77777777">
        <w:trPr>
          <w:trHeight w:val="299"/>
        </w:trPr>
        <w:tc>
          <w:tcPr>
            <w:tcW w:w="244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6AA49A10" w14:textId="77777777" w:rsidR="004E6E50" w:rsidRDefault="00B05403" w:rsidP="00E234EE">
            <w:pPr>
              <w:spacing w:before="120" w:after="120" w:line="240" w:lineRule="auto"/>
              <w:jc w:val="center"/>
            </w:pPr>
            <w:r>
              <w:rPr>
                <w:b/>
                <w:bCs/>
              </w:rPr>
              <w:lastRenderedPageBreak/>
              <w:t>SUB-MISURA A2</w:t>
            </w:r>
          </w:p>
        </w:tc>
        <w:tc>
          <w:tcPr>
            <w:tcW w:w="485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47B75518" w14:textId="77777777" w:rsidR="004E6E50" w:rsidRDefault="00B05403" w:rsidP="00E234EE">
            <w:pPr>
              <w:spacing w:before="120" w:after="120" w:line="240" w:lineRule="auto"/>
              <w:jc w:val="center"/>
            </w:pPr>
            <w:r>
              <w:rPr>
                <w:b/>
                <w:bCs/>
              </w:rPr>
              <w:t>FINALITÀ SPECIFICHE</w:t>
            </w:r>
          </w:p>
        </w:tc>
        <w:tc>
          <w:tcPr>
            <w:tcW w:w="10418"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5F48482B" w14:textId="77777777" w:rsidR="004E6E50" w:rsidRDefault="00B05403" w:rsidP="00E234EE">
            <w:pPr>
              <w:spacing w:before="120" w:after="120" w:line="240" w:lineRule="auto"/>
              <w:jc w:val="center"/>
            </w:pPr>
            <w:r>
              <w:rPr>
                <w:b/>
                <w:bCs/>
              </w:rPr>
              <w:t>OBIETTIVO DI REALIZZAZIONE</w:t>
            </w:r>
          </w:p>
        </w:tc>
        <w:tc>
          <w:tcPr>
            <w:tcW w:w="283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73057A47" w14:textId="77777777" w:rsidR="004E6E50" w:rsidRDefault="00B05403" w:rsidP="00E234EE">
            <w:pPr>
              <w:spacing w:before="120" w:after="120" w:line="240" w:lineRule="auto"/>
              <w:jc w:val="center"/>
            </w:pPr>
            <w:r>
              <w:rPr>
                <w:b/>
                <w:bCs/>
              </w:rPr>
              <w:t>RESPONSABILE ATTUAZIONE</w:t>
            </w:r>
          </w:p>
        </w:tc>
        <w:tc>
          <w:tcPr>
            <w:tcW w:w="181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3430DBC5" w14:textId="77777777" w:rsidR="004E6E50" w:rsidRDefault="00B05403" w:rsidP="00E234EE">
            <w:pPr>
              <w:spacing w:before="120" w:after="120" w:line="240" w:lineRule="auto"/>
              <w:jc w:val="center"/>
            </w:pPr>
            <w:r>
              <w:rPr>
                <w:b/>
                <w:bCs/>
              </w:rPr>
              <w:t>RISORSE (MLN €)</w:t>
            </w:r>
          </w:p>
        </w:tc>
      </w:tr>
      <w:tr w:rsidR="004E6E50" w14:paraId="7319217A" w14:textId="77777777" w:rsidTr="000776F4">
        <w:trPr>
          <w:trHeight w:val="781"/>
        </w:trPr>
        <w:tc>
          <w:tcPr>
            <w:tcW w:w="2441" w:type="dxa"/>
            <w:vMerge w:val="restart"/>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35E20F3A" w14:textId="77777777" w:rsidR="004E6E50" w:rsidRPr="00E234EE" w:rsidRDefault="00B05403" w:rsidP="00E234EE">
            <w:pPr>
              <w:spacing w:before="120" w:after="120" w:line="240" w:lineRule="auto"/>
              <w:jc w:val="center"/>
              <w:rPr>
                <w:b/>
                <w:bCs/>
                <w:sz w:val="24"/>
              </w:rPr>
            </w:pPr>
            <w:r w:rsidRPr="00E234EE">
              <w:rPr>
                <w:b/>
                <w:bCs/>
                <w:sz w:val="24"/>
              </w:rPr>
              <w:t>A2</w:t>
            </w:r>
          </w:p>
          <w:p w14:paraId="3C6F0481" w14:textId="77777777" w:rsidR="004E6E50" w:rsidRDefault="00B05403" w:rsidP="00E234EE">
            <w:pPr>
              <w:spacing w:before="120" w:after="120" w:line="240" w:lineRule="auto"/>
              <w:jc w:val="center"/>
            </w:pPr>
            <w:r w:rsidRPr="00E234EE">
              <w:rPr>
                <w:b/>
                <w:bCs/>
                <w:sz w:val="24"/>
              </w:rPr>
              <w:t>COMUNITÀ ENERGETICHE, RECUPERO E RIFUNZIONALIZZAZIONE DI EDIFICI PUBBLICI E PRODUZIONE DI ENERGIA/CALORE DA FONTI RINNOVABILI</w:t>
            </w:r>
          </w:p>
        </w:tc>
        <w:tc>
          <w:tcPr>
            <w:tcW w:w="48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DCA18" w14:textId="15581E09" w:rsidR="00DC5D54" w:rsidRDefault="00B05403" w:rsidP="00E234EE">
            <w:pPr>
              <w:spacing w:before="120" w:after="120" w:line="240" w:lineRule="auto"/>
              <w:jc w:val="both"/>
            </w:pPr>
            <w:r>
              <w:t xml:space="preserve">La </w:t>
            </w:r>
            <w:proofErr w:type="gramStart"/>
            <w:r>
              <w:t>sotto-misura</w:t>
            </w:r>
            <w:proofErr w:type="gramEnd"/>
            <w:r>
              <w:t xml:space="preserve"> intende ammodernare e rendere conformi ai nuovi standard sismico-energetici </w:t>
            </w:r>
            <w:r w:rsidR="00DC5D54">
              <w:t xml:space="preserve">sia </w:t>
            </w:r>
            <w:r>
              <w:t>edifici pubblici</w:t>
            </w:r>
            <w:r w:rsidR="00DC5D54">
              <w:t xml:space="preserve"> che edifici </w:t>
            </w:r>
            <w:r w:rsidR="00DC5D54" w:rsidRPr="000776F4">
              <w:t>di proprietà dello Stato e gestit</w:t>
            </w:r>
            <w:r w:rsidR="00DC5D54" w:rsidRPr="000776F4">
              <w:t>i</w:t>
            </w:r>
            <w:r w:rsidR="00DC5D54" w:rsidRPr="000776F4">
              <w:t xml:space="preserve"> dal Demanio</w:t>
            </w:r>
            <w:r>
              <w:t xml:space="preserve">. </w:t>
            </w:r>
          </w:p>
          <w:p w14:paraId="5D6672CB" w14:textId="702DD84C" w:rsidR="00DC5D54" w:rsidRDefault="00DC5D54" w:rsidP="00E234EE">
            <w:pPr>
              <w:spacing w:before="120" w:after="120" w:line="240" w:lineRule="auto"/>
              <w:jc w:val="both"/>
            </w:pPr>
            <w:r>
              <w:t>Mediante tali interventi</w:t>
            </w:r>
            <w:r w:rsidR="00B05403">
              <w:t xml:space="preserve">, la </w:t>
            </w:r>
            <w:r>
              <w:t>sotto</w:t>
            </w:r>
            <w:r w:rsidR="00B05403">
              <w:t>misura consente di recuperare gli edifici pubblici</w:t>
            </w:r>
            <w:r>
              <w:t xml:space="preserve">, </w:t>
            </w:r>
            <w:r w:rsidR="00B05403">
              <w:t>ad oggi esclusi da una qualsiasi forma di finanziamento</w:t>
            </w:r>
            <w:r w:rsidR="007E2F37">
              <w:t xml:space="preserve"> nell’ambito della ricostruzione</w:t>
            </w:r>
            <w:r w:rsidR="00B05403">
              <w:t>,</w:t>
            </w:r>
            <w:r>
              <w:t xml:space="preserve"> </w:t>
            </w:r>
            <w:r>
              <w:t>per finalità coerenti con gli obiettivi del Programma Unitario Fondi Complementari Sisma 2009 e 2016</w:t>
            </w:r>
            <w:r>
              <w:t xml:space="preserve"> e per usi </w:t>
            </w:r>
            <w:r>
              <w:t>culturali, sociali e turistici promossi da enti pubblici e soggetti privati</w:t>
            </w:r>
            <w:r>
              <w:t>.</w:t>
            </w:r>
          </w:p>
          <w:p w14:paraId="5EC2E7FF" w14:textId="318E2F84" w:rsidR="004E6E50" w:rsidRDefault="00DC5D54" w:rsidP="00E234EE">
            <w:pPr>
              <w:spacing w:before="120" w:after="120" w:line="240" w:lineRule="auto"/>
              <w:jc w:val="both"/>
            </w:pPr>
            <w:r>
              <w:t xml:space="preserve">Si intendono, inoltre, recuperare </w:t>
            </w:r>
            <w:r w:rsidR="000776F4">
              <w:t>una parte de</w:t>
            </w:r>
            <w:r w:rsidR="00B05403">
              <w:t xml:space="preserve">gli edifici temporanei del cratere 2009 </w:t>
            </w:r>
            <w:r>
              <w:t xml:space="preserve">(progetto CASE) </w:t>
            </w:r>
            <w:r w:rsidR="00B05403">
              <w:t>per la realizzazione del Centro Nazionale del Servizio Civile Universale</w:t>
            </w:r>
            <w:r>
              <w:t>.</w:t>
            </w:r>
          </w:p>
          <w:p w14:paraId="11D16885" w14:textId="134946B5" w:rsidR="00DC5D54" w:rsidRPr="000776F4" w:rsidRDefault="00DC5D54" w:rsidP="00E234EE">
            <w:pPr>
              <w:spacing w:before="120" w:after="120" w:line="240" w:lineRule="auto"/>
              <w:jc w:val="both"/>
            </w:pPr>
            <w:r>
              <w:t xml:space="preserve">La sotto-misura, inoltre, intende intervenire per sostenere la </w:t>
            </w:r>
            <w:r w:rsidR="000776F4">
              <w:t>realizzazione</w:t>
            </w:r>
            <w:r>
              <w:t xml:space="preserve"> </w:t>
            </w:r>
            <w:r w:rsidRPr="000776F4">
              <w:t>di sistemi centralizzati di produzione e distribuzione intelligente di energia e/o calore da fonti rinnovabili</w:t>
            </w:r>
            <w:r w:rsidRPr="000776F4">
              <w:t xml:space="preserve"> </w:t>
            </w:r>
            <w:r w:rsidR="007E2F37" w:rsidRPr="000776F4">
              <w:t>in contesti territoriali le cui caratteristiche geo-morfologiche rendono difficoltoso l’</w:t>
            </w:r>
            <w:r w:rsidR="0019545B" w:rsidRPr="000776F4">
              <w:t>approvvigionamento</w:t>
            </w:r>
            <w:r w:rsidR="007E2F37" w:rsidRPr="000776F4">
              <w:t xml:space="preserve"> energetico anche tradizionale.</w:t>
            </w:r>
          </w:p>
          <w:p w14:paraId="0612122F" w14:textId="77777777" w:rsidR="007E2F37" w:rsidRDefault="007E2F37" w:rsidP="00E234EE">
            <w:pPr>
              <w:spacing w:before="120" w:after="120" w:line="240" w:lineRule="auto"/>
              <w:jc w:val="both"/>
            </w:pPr>
            <w:r w:rsidRPr="000776F4">
              <w:t>In tale ottica, sono previste forme di sostegno per la creazione di comunità energetiche locali volte alla condivisione di energia elettrica da fonti pulite.</w:t>
            </w:r>
          </w:p>
          <w:p w14:paraId="7E504B8B" w14:textId="47440650" w:rsidR="007E2F37" w:rsidRDefault="007E2F37" w:rsidP="007E2F37">
            <w:pPr>
              <w:spacing w:before="120" w:after="120" w:line="240" w:lineRule="auto"/>
              <w:jc w:val="both"/>
            </w:pPr>
            <w:r>
              <w:t xml:space="preserve">La </w:t>
            </w:r>
            <w:proofErr w:type="gramStart"/>
            <w:r>
              <w:t>sotto-misura</w:t>
            </w:r>
            <w:proofErr w:type="gramEnd"/>
            <w:r>
              <w:t xml:space="preserve"> </w:t>
            </w:r>
            <w:r>
              <w:t>coglie, altresì, le finalità de</w:t>
            </w:r>
            <w:r>
              <w:t xml:space="preserve">l Piano Nazionale per l’energia e il clima, considerando che le azioni previste sono orientate a ridurre il consumo energetico e a favorire pertanto un migliore adattamento ai cambiamenti climatici. In particolare, incide nella riduzione dei “gas serra” rispetto al 2005, intervenendo sui consumi di combustibili fossili in ambito urbano, e incide nel consumo di energia da fonti rinnovabili, intervenendo su una migliore efficienza energetica attraverso sistemi innovativi di produzione e distribuzione. </w:t>
            </w:r>
          </w:p>
          <w:p w14:paraId="0A0C99F0" w14:textId="7B58506B" w:rsidR="007E2F37" w:rsidRDefault="007E2F37" w:rsidP="00E234EE">
            <w:pPr>
              <w:spacing w:before="120" w:after="120" w:line="240" w:lineRule="auto"/>
              <w:jc w:val="both"/>
            </w:pPr>
          </w:p>
        </w:tc>
        <w:tc>
          <w:tcPr>
            <w:tcW w:w="10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7A5432" w14:textId="7D2A3C22" w:rsidR="004E6E50" w:rsidRDefault="007E2F37" w:rsidP="00E234EE">
            <w:pPr>
              <w:spacing w:before="120" w:after="120" w:line="240" w:lineRule="auto"/>
              <w:jc w:val="both"/>
            </w:pPr>
            <w:r>
              <w:t>L</w:t>
            </w:r>
            <w:r w:rsidR="00B05403">
              <w:t>a sottomisura si articola ne</w:t>
            </w:r>
            <w:r w:rsidR="0019545B">
              <w:t>i</w:t>
            </w:r>
            <w:r w:rsidR="00B05403">
              <w:t xml:space="preserve"> seguenti</w:t>
            </w:r>
            <w:r>
              <w:t xml:space="preserve"> obiettivi realizzativi</w:t>
            </w:r>
            <w:r w:rsidR="00B05403">
              <w:t xml:space="preserve"> integrat</w:t>
            </w:r>
            <w:r>
              <w:t>i</w:t>
            </w:r>
            <w:r w:rsidR="00B05403">
              <w:t xml:space="preserve"> e complementari tra loro:</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FCCAFF" w14:textId="77777777" w:rsidR="004E6E50" w:rsidRDefault="00B05403" w:rsidP="00E234EE">
            <w:pPr>
              <w:spacing w:before="120" w:after="120" w:line="240" w:lineRule="auto"/>
              <w:jc w:val="center"/>
            </w:pPr>
            <w:r>
              <w:t>Ufficio del Commissario straordinario per il sisma 2016 e Struttura di missione per il sisma 2009, in funzione del territorio di competenza</w:t>
            </w:r>
          </w:p>
        </w:tc>
        <w:tc>
          <w:tcPr>
            <w:tcW w:w="181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046164" w14:textId="77777777" w:rsidR="004E6E50" w:rsidRDefault="00B05403" w:rsidP="00E234EE">
            <w:pPr>
              <w:spacing w:before="120" w:after="120" w:line="240" w:lineRule="auto"/>
              <w:jc w:val="center"/>
            </w:pPr>
            <w:r w:rsidRPr="00E234EE">
              <w:rPr>
                <w:sz w:val="28"/>
              </w:rPr>
              <w:t>235</w:t>
            </w:r>
          </w:p>
        </w:tc>
      </w:tr>
      <w:tr w:rsidR="004E6E50" w14:paraId="6E189220" w14:textId="77777777">
        <w:trPr>
          <w:trHeight w:val="2090"/>
        </w:trPr>
        <w:tc>
          <w:tcPr>
            <w:tcW w:w="2441" w:type="dxa"/>
            <w:vMerge/>
            <w:tcBorders>
              <w:top w:val="single" w:sz="4" w:space="0" w:color="000000"/>
              <w:left w:val="single" w:sz="4" w:space="0" w:color="000000"/>
              <w:bottom w:val="single" w:sz="4" w:space="0" w:color="000000"/>
              <w:right w:val="single" w:sz="4" w:space="0" w:color="000000"/>
            </w:tcBorders>
            <w:shd w:val="clear" w:color="auto" w:fill="D9E2F3"/>
          </w:tcPr>
          <w:p w14:paraId="262631BE" w14:textId="77777777" w:rsidR="004E6E50" w:rsidRDefault="004E6E50" w:rsidP="00E234EE">
            <w:pPr>
              <w:spacing w:before="120" w:after="120"/>
            </w:pPr>
          </w:p>
        </w:tc>
        <w:tc>
          <w:tcPr>
            <w:tcW w:w="4850" w:type="dxa"/>
            <w:vMerge/>
            <w:tcBorders>
              <w:top w:val="single" w:sz="4" w:space="0" w:color="000000"/>
              <w:left w:val="single" w:sz="4" w:space="0" w:color="000000"/>
              <w:bottom w:val="single" w:sz="4" w:space="0" w:color="000000"/>
              <w:right w:val="single" w:sz="4" w:space="0" w:color="000000"/>
            </w:tcBorders>
            <w:shd w:val="clear" w:color="auto" w:fill="auto"/>
          </w:tcPr>
          <w:p w14:paraId="224F1992" w14:textId="77777777" w:rsidR="004E6E50" w:rsidRDefault="004E6E50" w:rsidP="00E234EE">
            <w:pPr>
              <w:spacing w:before="120" w:after="120"/>
            </w:pPr>
          </w:p>
        </w:tc>
        <w:tc>
          <w:tcPr>
            <w:tcW w:w="10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94BDD2" w14:textId="6480DBF2" w:rsidR="004E6E50" w:rsidRDefault="00B05403" w:rsidP="00E234EE">
            <w:pPr>
              <w:spacing w:before="120" w:after="120" w:line="240" w:lineRule="auto"/>
              <w:jc w:val="both"/>
            </w:pPr>
            <w:r w:rsidRPr="00E234EE">
              <w:rPr>
                <w:b/>
                <w:bCs/>
                <w:sz w:val="24"/>
              </w:rPr>
              <w:t xml:space="preserve">1. rifunzionalizzazione, efficientamento energetico e mitigazione delle vulnerabilità sismiche </w:t>
            </w:r>
            <w:r w:rsidR="00F8413E">
              <w:rPr>
                <w:sz w:val="24"/>
              </w:rPr>
              <w:t>di</w:t>
            </w:r>
            <w:r w:rsidRPr="00E234EE">
              <w:rPr>
                <w:b/>
                <w:bCs/>
                <w:sz w:val="24"/>
              </w:rPr>
              <w:t xml:space="preserve"> </w:t>
            </w:r>
            <w:r w:rsidRPr="00EB7CFC">
              <w:rPr>
                <w:sz w:val="24"/>
              </w:rPr>
              <w:t xml:space="preserve">edifici e infrastrutture di proprietà dello Stato </w:t>
            </w:r>
            <w:r w:rsidR="00132ABF">
              <w:rPr>
                <w:sz w:val="24"/>
              </w:rPr>
              <w:t xml:space="preserve">e </w:t>
            </w:r>
            <w:r w:rsidRPr="00EB7CFC">
              <w:rPr>
                <w:sz w:val="24"/>
              </w:rPr>
              <w:t xml:space="preserve">gestite dal Demanio, </w:t>
            </w:r>
            <w:r>
              <w:t>attualmente in disuso, per usi culturali, sociali e turistici</w:t>
            </w:r>
            <w:r w:rsidR="00E770C1">
              <w:t xml:space="preserve"> promossi da enti pubblici e soggetti privati</w:t>
            </w:r>
            <w:r w:rsidR="00F8413E">
              <w:t xml:space="preserve">, e di </w:t>
            </w:r>
            <w:r w:rsidR="00201868">
              <w:t xml:space="preserve">altri </w:t>
            </w:r>
            <w:r>
              <w:t>edifici e</w:t>
            </w:r>
            <w:r w:rsidR="00132ABF">
              <w:t>d</w:t>
            </w:r>
            <w:r>
              <w:t xml:space="preserve"> infrastrutture pubbliche, ivi inclusi </w:t>
            </w:r>
            <w:r w:rsidR="00F8413E">
              <w:t xml:space="preserve">gli edifici </w:t>
            </w:r>
            <w:r>
              <w:t>strategici, nelle città e nei borghi (e.g. strutture destinate all'educazione, alla formazione e all'istruzione; strutture per la valorizzazione turistica, sportiva, sociale e ambientale; edilizia residenziale pubblica), per finalità coerenti con gli obiettivi del Programma Unitario Fondi Complementari Sisma 2009 e 2016. In tal senso, sono stati individuati alcuni edifici da rifunzionalizzare, da affidare con procedure di evidenza pubblica, anche ricorrendo a forme di partenariato pubblico/privato, per un costo totale di 100 MLN;</w:t>
            </w: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Pr>
          <w:p w14:paraId="1842FB95" w14:textId="77777777" w:rsidR="004E6E50" w:rsidRDefault="004E6E50" w:rsidP="00E234EE">
            <w:pPr>
              <w:spacing w:before="120" w:after="120"/>
            </w:pPr>
          </w:p>
        </w:tc>
        <w:tc>
          <w:tcPr>
            <w:tcW w:w="1816" w:type="dxa"/>
            <w:vMerge/>
            <w:tcBorders>
              <w:top w:val="single" w:sz="4" w:space="0" w:color="000000"/>
              <w:left w:val="single" w:sz="4" w:space="0" w:color="000000"/>
              <w:bottom w:val="single" w:sz="4" w:space="0" w:color="000000"/>
              <w:right w:val="single" w:sz="4" w:space="0" w:color="000000"/>
            </w:tcBorders>
            <w:shd w:val="clear" w:color="auto" w:fill="auto"/>
          </w:tcPr>
          <w:p w14:paraId="5CBA31E2" w14:textId="77777777" w:rsidR="004E6E50" w:rsidRDefault="004E6E50" w:rsidP="00E234EE">
            <w:pPr>
              <w:spacing w:before="120" w:after="120"/>
            </w:pPr>
          </w:p>
        </w:tc>
      </w:tr>
      <w:tr w:rsidR="004E6E50" w14:paraId="20F69DB5" w14:textId="77777777">
        <w:trPr>
          <w:trHeight w:val="790"/>
        </w:trPr>
        <w:tc>
          <w:tcPr>
            <w:tcW w:w="2441" w:type="dxa"/>
            <w:vMerge/>
            <w:tcBorders>
              <w:top w:val="single" w:sz="4" w:space="0" w:color="000000"/>
              <w:left w:val="single" w:sz="4" w:space="0" w:color="000000"/>
              <w:bottom w:val="single" w:sz="4" w:space="0" w:color="000000"/>
              <w:right w:val="single" w:sz="4" w:space="0" w:color="000000"/>
            </w:tcBorders>
            <w:shd w:val="clear" w:color="auto" w:fill="D9E2F3"/>
          </w:tcPr>
          <w:p w14:paraId="3FAACC76" w14:textId="77777777" w:rsidR="004E6E50" w:rsidRDefault="004E6E50" w:rsidP="00E234EE">
            <w:pPr>
              <w:spacing w:before="120" w:after="120"/>
            </w:pPr>
          </w:p>
        </w:tc>
        <w:tc>
          <w:tcPr>
            <w:tcW w:w="4850" w:type="dxa"/>
            <w:vMerge/>
            <w:tcBorders>
              <w:top w:val="single" w:sz="4" w:space="0" w:color="000000"/>
              <w:left w:val="single" w:sz="4" w:space="0" w:color="000000"/>
              <w:bottom w:val="single" w:sz="4" w:space="0" w:color="000000"/>
              <w:right w:val="single" w:sz="4" w:space="0" w:color="000000"/>
            </w:tcBorders>
            <w:shd w:val="clear" w:color="auto" w:fill="auto"/>
          </w:tcPr>
          <w:p w14:paraId="1672A802" w14:textId="77777777" w:rsidR="004E6E50" w:rsidRDefault="004E6E50" w:rsidP="00E234EE">
            <w:pPr>
              <w:spacing w:before="120" w:after="120"/>
            </w:pPr>
          </w:p>
        </w:tc>
        <w:tc>
          <w:tcPr>
            <w:tcW w:w="10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A3FFBC" w14:textId="77777777" w:rsidR="004E6E50" w:rsidRDefault="00B05403" w:rsidP="00E234EE">
            <w:pPr>
              <w:spacing w:before="120" w:after="120" w:line="240" w:lineRule="auto"/>
              <w:jc w:val="both"/>
            </w:pPr>
            <w:r w:rsidRPr="00E234EE">
              <w:rPr>
                <w:b/>
                <w:bCs/>
                <w:sz w:val="24"/>
              </w:rPr>
              <w:t>2. rifunzionalizzazione, efficientamento energetico e mitigazione delle vulnerabilità sismiche di edifici temporanei</w:t>
            </w:r>
            <w:r w:rsidRPr="00E234EE">
              <w:rPr>
                <w:sz w:val="24"/>
              </w:rPr>
              <w:t xml:space="preserve"> </w:t>
            </w:r>
            <w:r>
              <w:t>del Comune di L’Aquila ("progetto Case") e di altri edifici pubblici ai fini della realizzazione del Centro Nazionale per il Servizio Civile Universale), per un costo totale di 60 MLN;</w:t>
            </w: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Pr>
          <w:p w14:paraId="7996B32C" w14:textId="77777777" w:rsidR="004E6E50" w:rsidRDefault="004E6E50" w:rsidP="00E234EE">
            <w:pPr>
              <w:spacing w:before="120" w:after="120"/>
            </w:pPr>
          </w:p>
        </w:tc>
        <w:tc>
          <w:tcPr>
            <w:tcW w:w="1816" w:type="dxa"/>
            <w:vMerge/>
            <w:tcBorders>
              <w:top w:val="single" w:sz="4" w:space="0" w:color="000000"/>
              <w:left w:val="single" w:sz="4" w:space="0" w:color="000000"/>
              <w:bottom w:val="single" w:sz="4" w:space="0" w:color="000000"/>
              <w:right w:val="single" w:sz="4" w:space="0" w:color="000000"/>
            </w:tcBorders>
            <w:shd w:val="clear" w:color="auto" w:fill="auto"/>
          </w:tcPr>
          <w:p w14:paraId="2564A40F" w14:textId="77777777" w:rsidR="004E6E50" w:rsidRDefault="004E6E50" w:rsidP="00E234EE">
            <w:pPr>
              <w:spacing w:before="120" w:after="120"/>
            </w:pPr>
          </w:p>
        </w:tc>
      </w:tr>
      <w:tr w:rsidR="004E6E50" w14:paraId="4F4BF458" w14:textId="77777777">
        <w:trPr>
          <w:trHeight w:val="1050"/>
        </w:trPr>
        <w:tc>
          <w:tcPr>
            <w:tcW w:w="2441" w:type="dxa"/>
            <w:vMerge/>
            <w:tcBorders>
              <w:top w:val="single" w:sz="4" w:space="0" w:color="000000"/>
              <w:left w:val="single" w:sz="4" w:space="0" w:color="000000"/>
              <w:bottom w:val="single" w:sz="4" w:space="0" w:color="000000"/>
              <w:right w:val="single" w:sz="4" w:space="0" w:color="000000"/>
            </w:tcBorders>
            <w:shd w:val="clear" w:color="auto" w:fill="D9E2F3"/>
          </w:tcPr>
          <w:p w14:paraId="300CDC75" w14:textId="77777777" w:rsidR="004E6E50" w:rsidRDefault="004E6E50" w:rsidP="00E234EE">
            <w:pPr>
              <w:spacing w:before="120" w:after="120"/>
            </w:pPr>
          </w:p>
        </w:tc>
        <w:tc>
          <w:tcPr>
            <w:tcW w:w="4850" w:type="dxa"/>
            <w:vMerge/>
            <w:tcBorders>
              <w:top w:val="single" w:sz="4" w:space="0" w:color="000000"/>
              <w:left w:val="single" w:sz="4" w:space="0" w:color="000000"/>
              <w:bottom w:val="single" w:sz="4" w:space="0" w:color="000000"/>
              <w:right w:val="single" w:sz="4" w:space="0" w:color="000000"/>
            </w:tcBorders>
            <w:shd w:val="clear" w:color="auto" w:fill="auto"/>
          </w:tcPr>
          <w:p w14:paraId="787234B7" w14:textId="77777777" w:rsidR="004E6E50" w:rsidRDefault="004E6E50" w:rsidP="00E234EE">
            <w:pPr>
              <w:spacing w:before="120" w:after="120"/>
            </w:pPr>
          </w:p>
        </w:tc>
        <w:tc>
          <w:tcPr>
            <w:tcW w:w="10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5D43DF" w14:textId="77777777" w:rsidR="004E6E50" w:rsidRDefault="00B05403" w:rsidP="00E234EE">
            <w:pPr>
              <w:spacing w:before="120" w:after="120" w:line="240" w:lineRule="auto"/>
              <w:jc w:val="both"/>
            </w:pPr>
            <w:r w:rsidRPr="00E234EE">
              <w:rPr>
                <w:b/>
                <w:bCs/>
                <w:sz w:val="24"/>
              </w:rPr>
              <w:t>3. realizzazione di sistemi centralizzati di produzione e distribuzione intelligente di energia e/o calore da fonti rinnovabili</w:t>
            </w:r>
            <w:r w:rsidRPr="00E234EE">
              <w:rPr>
                <w:sz w:val="24"/>
              </w:rPr>
              <w:t xml:space="preserve"> </w:t>
            </w:r>
            <w:r>
              <w:t>(e.g. nuovi centri di produzione e gestione di energia da biomasse, nuovi centri di produzione e gestione di energia da idro-elettrico, sperimentazione di impianti di produzione e distribuzione di idrogeno verde, impianti di geotermia), per un costo totale di 40 MLN;</w:t>
            </w: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Pr>
          <w:p w14:paraId="2501915D" w14:textId="77777777" w:rsidR="004E6E50" w:rsidRDefault="004E6E50" w:rsidP="00E234EE">
            <w:pPr>
              <w:spacing w:before="120" w:after="120"/>
            </w:pPr>
          </w:p>
        </w:tc>
        <w:tc>
          <w:tcPr>
            <w:tcW w:w="1816" w:type="dxa"/>
            <w:vMerge/>
            <w:tcBorders>
              <w:top w:val="single" w:sz="4" w:space="0" w:color="000000"/>
              <w:left w:val="single" w:sz="4" w:space="0" w:color="000000"/>
              <w:bottom w:val="single" w:sz="4" w:space="0" w:color="000000"/>
              <w:right w:val="single" w:sz="4" w:space="0" w:color="000000"/>
            </w:tcBorders>
            <w:shd w:val="clear" w:color="auto" w:fill="auto"/>
          </w:tcPr>
          <w:p w14:paraId="48325DF9" w14:textId="77777777" w:rsidR="004E6E50" w:rsidRDefault="004E6E50" w:rsidP="00E234EE">
            <w:pPr>
              <w:spacing w:before="120" w:after="120"/>
            </w:pPr>
          </w:p>
        </w:tc>
      </w:tr>
      <w:tr w:rsidR="004E6E50" w14:paraId="518CECC6" w14:textId="77777777">
        <w:trPr>
          <w:trHeight w:val="1050"/>
        </w:trPr>
        <w:tc>
          <w:tcPr>
            <w:tcW w:w="2441" w:type="dxa"/>
            <w:vMerge/>
            <w:tcBorders>
              <w:top w:val="single" w:sz="4" w:space="0" w:color="000000"/>
              <w:left w:val="single" w:sz="4" w:space="0" w:color="000000"/>
              <w:bottom w:val="single" w:sz="4" w:space="0" w:color="000000"/>
              <w:right w:val="single" w:sz="4" w:space="0" w:color="000000"/>
            </w:tcBorders>
            <w:shd w:val="clear" w:color="auto" w:fill="D9E2F3"/>
          </w:tcPr>
          <w:p w14:paraId="2FE9BA79" w14:textId="77777777" w:rsidR="004E6E50" w:rsidRDefault="004E6E50" w:rsidP="00E234EE">
            <w:pPr>
              <w:spacing w:before="120" w:after="120"/>
            </w:pPr>
          </w:p>
        </w:tc>
        <w:tc>
          <w:tcPr>
            <w:tcW w:w="4850" w:type="dxa"/>
            <w:vMerge/>
            <w:tcBorders>
              <w:top w:val="single" w:sz="4" w:space="0" w:color="000000"/>
              <w:left w:val="single" w:sz="4" w:space="0" w:color="000000"/>
              <w:bottom w:val="single" w:sz="4" w:space="0" w:color="000000"/>
              <w:right w:val="single" w:sz="4" w:space="0" w:color="000000"/>
            </w:tcBorders>
            <w:shd w:val="clear" w:color="auto" w:fill="auto"/>
          </w:tcPr>
          <w:p w14:paraId="34A37A04" w14:textId="77777777" w:rsidR="004E6E50" w:rsidRDefault="004E6E50" w:rsidP="00E234EE">
            <w:pPr>
              <w:spacing w:before="120" w:after="120"/>
            </w:pPr>
          </w:p>
        </w:tc>
        <w:tc>
          <w:tcPr>
            <w:tcW w:w="10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8CBEEB" w14:textId="0286552C" w:rsidR="004E6E50" w:rsidRDefault="00B05403" w:rsidP="00E234EE">
            <w:pPr>
              <w:spacing w:before="120" w:after="120" w:line="240" w:lineRule="auto"/>
              <w:jc w:val="both"/>
            </w:pPr>
            <w:r w:rsidRPr="00E234EE">
              <w:rPr>
                <w:b/>
                <w:bCs/>
                <w:sz w:val="24"/>
              </w:rPr>
              <w:t>4. supporto alla creazione di comunità energetiche locali per la condivisione dell'energia elettrica da fonti pulite</w:t>
            </w:r>
            <w:r w:rsidRPr="00E234EE">
              <w:rPr>
                <w:sz w:val="24"/>
              </w:rPr>
              <w:t xml:space="preserve"> </w:t>
            </w:r>
            <w:r>
              <w:t>a vantaggio di cittadini e imprese. La linea di intervento si rivolge ai comuni al di sopra dei 5.000 abitanti</w:t>
            </w:r>
            <w:r w:rsidR="003E26DF">
              <w:t>, alle associazioni di comuni e, per i comuni al di sotto dei 5.000 abitanti, integrando</w:t>
            </w:r>
            <w:r w:rsidR="00437076">
              <w:t xml:space="preserve"> gli interventi per le comunità energetiche previsti e finanziati </w:t>
            </w:r>
            <w:r>
              <w:t>dal PNRR nazionale</w:t>
            </w:r>
            <w:r w:rsidR="003E26DF">
              <w:t>,</w:t>
            </w:r>
            <w:r>
              <w:t xml:space="preserve"> </w:t>
            </w:r>
            <w:r w:rsidR="003E26DF">
              <w:t xml:space="preserve">per </w:t>
            </w:r>
            <w:r>
              <w:t>un costo totale di 35 MLN.</w:t>
            </w:r>
          </w:p>
        </w:tc>
        <w:tc>
          <w:tcPr>
            <w:tcW w:w="2836" w:type="dxa"/>
            <w:vMerge/>
            <w:tcBorders>
              <w:top w:val="single" w:sz="4" w:space="0" w:color="000000"/>
              <w:left w:val="single" w:sz="4" w:space="0" w:color="000000"/>
              <w:bottom w:val="single" w:sz="4" w:space="0" w:color="000000"/>
              <w:right w:val="single" w:sz="4" w:space="0" w:color="000000"/>
            </w:tcBorders>
            <w:shd w:val="clear" w:color="auto" w:fill="auto"/>
          </w:tcPr>
          <w:p w14:paraId="78854AE8" w14:textId="77777777" w:rsidR="004E6E50" w:rsidRDefault="004E6E50" w:rsidP="00E234EE">
            <w:pPr>
              <w:spacing w:before="120" w:after="120"/>
            </w:pPr>
          </w:p>
        </w:tc>
        <w:tc>
          <w:tcPr>
            <w:tcW w:w="1816" w:type="dxa"/>
            <w:vMerge/>
            <w:tcBorders>
              <w:top w:val="single" w:sz="4" w:space="0" w:color="000000"/>
              <w:left w:val="single" w:sz="4" w:space="0" w:color="000000"/>
              <w:bottom w:val="single" w:sz="4" w:space="0" w:color="000000"/>
              <w:right w:val="single" w:sz="4" w:space="0" w:color="000000"/>
            </w:tcBorders>
            <w:shd w:val="clear" w:color="auto" w:fill="auto"/>
          </w:tcPr>
          <w:p w14:paraId="2C97AB21" w14:textId="77777777" w:rsidR="004E6E50" w:rsidRDefault="004E6E50" w:rsidP="00E234EE">
            <w:pPr>
              <w:spacing w:before="120" w:after="120"/>
            </w:pPr>
          </w:p>
        </w:tc>
      </w:tr>
    </w:tbl>
    <w:p w14:paraId="26645554" w14:textId="77777777" w:rsidR="004E6E50" w:rsidRDefault="004E6E50" w:rsidP="00E234EE">
      <w:pPr>
        <w:widowControl w:val="0"/>
        <w:spacing w:before="120" w:after="120" w:line="240" w:lineRule="auto"/>
        <w:ind w:left="108" w:hanging="108"/>
      </w:pPr>
    </w:p>
    <w:p w14:paraId="722A327B" w14:textId="77777777" w:rsidR="004E6E50" w:rsidRDefault="004E6E50" w:rsidP="00E234EE">
      <w:pPr>
        <w:widowControl w:val="0"/>
        <w:spacing w:before="120" w:after="120" w:line="240" w:lineRule="auto"/>
      </w:pPr>
    </w:p>
    <w:p w14:paraId="57DF9703" w14:textId="77777777" w:rsidR="004E6E50" w:rsidRDefault="004E6E50" w:rsidP="00E234EE">
      <w:pPr>
        <w:spacing w:before="120" w:after="120"/>
        <w:sectPr w:rsidR="004E6E50">
          <w:pgSz w:w="23820" w:h="16840" w:orient="landscape"/>
          <w:pgMar w:top="720" w:right="720" w:bottom="720" w:left="720" w:header="720" w:footer="720" w:gutter="0"/>
          <w:pgNumType w:start="1"/>
          <w:cols w:space="720"/>
        </w:sectPr>
      </w:pPr>
    </w:p>
    <w:tbl>
      <w:tblPr>
        <w:tblStyle w:val="TableNormal"/>
        <w:tblW w:w="2236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5"/>
        <w:gridCol w:w="4950"/>
        <w:gridCol w:w="10710"/>
        <w:gridCol w:w="2880"/>
        <w:gridCol w:w="1846"/>
      </w:tblGrid>
      <w:tr w:rsidR="004E6E50" w14:paraId="4A96285D" w14:textId="77777777">
        <w:trPr>
          <w:trHeight w:val="280"/>
        </w:trPr>
        <w:tc>
          <w:tcPr>
            <w:tcW w:w="1975"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37B13185" w14:textId="77777777" w:rsidR="004E6E50" w:rsidRDefault="00B05403" w:rsidP="00E234EE">
            <w:pPr>
              <w:spacing w:before="120" w:after="120" w:line="240" w:lineRule="auto"/>
              <w:jc w:val="center"/>
            </w:pPr>
            <w:r>
              <w:rPr>
                <w:b/>
                <w:bCs/>
              </w:rPr>
              <w:lastRenderedPageBreak/>
              <w:t>SUB-MISURA A3</w:t>
            </w:r>
          </w:p>
        </w:tc>
        <w:tc>
          <w:tcPr>
            <w:tcW w:w="495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23C59695" w14:textId="77777777" w:rsidR="004E6E50" w:rsidRDefault="00B05403" w:rsidP="00E234EE">
            <w:pPr>
              <w:spacing w:before="120" w:after="120" w:line="240" w:lineRule="auto"/>
              <w:jc w:val="center"/>
            </w:pPr>
            <w:r>
              <w:rPr>
                <w:b/>
                <w:bCs/>
              </w:rPr>
              <w:t>FINALITÀ SPECIFICHE</w:t>
            </w:r>
          </w:p>
        </w:tc>
        <w:tc>
          <w:tcPr>
            <w:tcW w:w="1071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6E2E8EBE" w14:textId="77777777" w:rsidR="004E6E50" w:rsidRDefault="00B05403" w:rsidP="00E234EE">
            <w:pPr>
              <w:spacing w:before="120" w:after="120" w:line="240" w:lineRule="auto"/>
              <w:jc w:val="center"/>
            </w:pPr>
            <w:r>
              <w:rPr>
                <w:b/>
                <w:bCs/>
              </w:rPr>
              <w:t>OBIETTIVO DI REALIZZAZIONE</w:t>
            </w:r>
          </w:p>
        </w:tc>
        <w:tc>
          <w:tcPr>
            <w:tcW w:w="288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0B270D35" w14:textId="77777777" w:rsidR="004E6E50" w:rsidRDefault="00B05403" w:rsidP="00E234EE">
            <w:pPr>
              <w:spacing w:before="120" w:after="120" w:line="240" w:lineRule="auto"/>
              <w:jc w:val="center"/>
            </w:pPr>
            <w:r>
              <w:rPr>
                <w:b/>
                <w:bCs/>
              </w:rPr>
              <w:t>RESPONSABILE ATTUAZIONE</w:t>
            </w:r>
          </w:p>
        </w:tc>
        <w:tc>
          <w:tcPr>
            <w:tcW w:w="184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7432593B" w14:textId="77777777" w:rsidR="004E6E50" w:rsidRDefault="00B05403" w:rsidP="00E234EE">
            <w:pPr>
              <w:spacing w:before="120" w:after="120" w:line="240" w:lineRule="auto"/>
              <w:jc w:val="center"/>
            </w:pPr>
            <w:r>
              <w:rPr>
                <w:b/>
                <w:bCs/>
              </w:rPr>
              <w:t>RISORSE (MLN €)</w:t>
            </w:r>
          </w:p>
        </w:tc>
      </w:tr>
      <w:tr w:rsidR="004E6E50" w14:paraId="1F26AD13" w14:textId="77777777">
        <w:trPr>
          <w:trHeight w:val="2090"/>
        </w:trPr>
        <w:tc>
          <w:tcPr>
            <w:tcW w:w="1975" w:type="dxa"/>
            <w:vMerge w:val="restart"/>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7D976268" w14:textId="77777777" w:rsidR="004E6E50" w:rsidRPr="00E234EE" w:rsidRDefault="00B05403" w:rsidP="00E234EE">
            <w:pPr>
              <w:spacing w:before="120" w:after="120" w:line="240" w:lineRule="auto"/>
              <w:jc w:val="center"/>
              <w:rPr>
                <w:b/>
                <w:bCs/>
                <w:sz w:val="24"/>
              </w:rPr>
            </w:pPr>
            <w:r w:rsidRPr="00E234EE">
              <w:rPr>
                <w:b/>
                <w:bCs/>
                <w:sz w:val="24"/>
              </w:rPr>
              <w:t>A3</w:t>
            </w:r>
          </w:p>
          <w:p w14:paraId="33A71BD4" w14:textId="77777777" w:rsidR="004E6E50" w:rsidRDefault="00B05403" w:rsidP="00E234EE">
            <w:pPr>
              <w:spacing w:before="120" w:after="120" w:line="240" w:lineRule="auto"/>
              <w:jc w:val="center"/>
            </w:pPr>
            <w:r w:rsidRPr="00E234EE">
              <w:rPr>
                <w:b/>
                <w:bCs/>
                <w:sz w:val="24"/>
              </w:rPr>
              <w:t>RIGENERAZIONE URBANA E TERRITORIALE</w:t>
            </w:r>
          </w:p>
        </w:tc>
        <w:tc>
          <w:tcPr>
            <w:tcW w:w="49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9B696" w14:textId="77777777" w:rsidR="007E2F37" w:rsidRDefault="00B05403" w:rsidP="00E234EE">
            <w:pPr>
              <w:spacing w:before="120" w:after="120" w:line="240" w:lineRule="auto"/>
              <w:jc w:val="both"/>
            </w:pPr>
            <w:r>
              <w:t xml:space="preserve">Per quanto riguarda la scala urbana, la sottomisura mira a migliorare la qualità delle relazioni sociali e della ricreazione negli spazi aperti pubblici dal punto di vista del comfort ambientale e a ridurre gli effetti negativi del cambiamento climatico negli ambienti urbani, attraverso interventi innovativi di riqualificazione integrata degli spazi aperti e degli edifici pubblici, tesi anche a migliorare l’accessibilità sia delle aree che degli edifici pubblici, ivi comprese le Soluzioni Abitative di Emergenza SAE, al fine di permetterne l’utilizzo in particolare da parte delle categorie più fragili (disabili, anziani, famiglie con bambini). </w:t>
            </w:r>
          </w:p>
          <w:p w14:paraId="2CE36B29" w14:textId="337B7A1B" w:rsidR="004E6E50" w:rsidRDefault="00B05403" w:rsidP="00E234EE">
            <w:pPr>
              <w:spacing w:before="120" w:after="120" w:line="240" w:lineRule="auto"/>
              <w:jc w:val="both"/>
            </w:pPr>
            <w:r>
              <w:t xml:space="preserve">È inoltre previsto un intervento destinato a sostenere la conservazione e fruizione dei beni culturali (Depositi di sicurezza </w:t>
            </w:r>
            <w:r w:rsidR="000776F4">
              <w:t xml:space="preserve">di Camerino, Rieti, Spoleto </w:t>
            </w:r>
            <w:r>
              <w:t>e Museo Nazionale d</w:t>
            </w:r>
            <w:r w:rsidR="007E2F37">
              <w:t>i L’Aquila</w:t>
            </w:r>
            <w:r>
              <w:t xml:space="preserve">). </w:t>
            </w:r>
          </w:p>
          <w:p w14:paraId="2B92C0E3" w14:textId="3893CD1B" w:rsidR="004E6E50" w:rsidRDefault="00B05403" w:rsidP="00E234EE">
            <w:pPr>
              <w:spacing w:before="120" w:after="120" w:line="240" w:lineRule="auto"/>
              <w:jc w:val="both"/>
            </w:pPr>
            <w:r>
              <w:t xml:space="preserve">Per quanto riguarda la scala territoriale, la sottomisura mira a migliorare la qualità del sistema di relazioni tra parti del territorio, attraverso interventi sulle infrastrutture </w:t>
            </w:r>
            <w:r w:rsidR="007E2F37">
              <w:t>intermodali</w:t>
            </w:r>
            <w:r>
              <w:t>, e interventi sugli itinerari e i cammini culturali e tematici, ivi inclusi percorsi ciclabili e pedonali, e attrezzature di supporto alle attività sportive e ricreative e a modalità dolci di spostamento e fruizione del territorio.</w:t>
            </w:r>
          </w:p>
        </w:tc>
        <w:tc>
          <w:tcPr>
            <w:tcW w:w="10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FE98C3" w14:textId="77777777" w:rsidR="004E6E50" w:rsidRDefault="00B05403" w:rsidP="00E234EE">
            <w:pPr>
              <w:spacing w:before="120" w:after="120" w:line="240" w:lineRule="auto"/>
              <w:jc w:val="both"/>
            </w:pPr>
            <w:r>
              <w:t xml:space="preserve">Le aree urbane mantengono spesso uno stato d'isolamento dal territorio circostante, sono caratterizzate da superfici non permeabili e sono interessate da cambiamenti climatici che stanno mettendo a dura prova l'utilizzo adeguato delle risorse naturali, con effetti pericolosi anche dal punto di vista della salute umana (isole di calore urbano, inquinamento dell'aria, ecc.). L'incremento e il miglioramento degli spazi aperti/verdi urbani e territoriali, la rifunzionalizzazione di edifici e terreni pubblici e l'inserimento di nuovi sistemi tecnologici può dunque favorire la transizione verso la sostenibilità. </w:t>
            </w:r>
          </w:p>
          <w:p w14:paraId="3D373194" w14:textId="77777777" w:rsidR="004E6E50" w:rsidRDefault="00B05403" w:rsidP="00E234EE">
            <w:pPr>
              <w:spacing w:before="120" w:after="120" w:line="240" w:lineRule="auto"/>
              <w:jc w:val="both"/>
            </w:pPr>
            <w:r>
              <w:t>La sottomisura si articola in tre linee d'intervento integrate e complementari tra loro anche attraverso la partecipazione pubblico/privato:</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75D236" w14:textId="77777777" w:rsidR="004E6E50" w:rsidRDefault="00B05403" w:rsidP="00E234EE">
            <w:pPr>
              <w:spacing w:before="120" w:after="120" w:line="240" w:lineRule="auto"/>
              <w:jc w:val="center"/>
            </w:pPr>
            <w:r>
              <w:t>Ufficio del Commissario straordinario per il sisma 2016 e Struttura di missione per il sisma 2009, in funzione del territorio di competenza</w:t>
            </w:r>
          </w:p>
        </w:tc>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0E141F" w14:textId="792E3128" w:rsidR="004E6E50" w:rsidRDefault="00B05403" w:rsidP="00E234EE">
            <w:pPr>
              <w:spacing w:before="120" w:after="120" w:line="240" w:lineRule="auto"/>
              <w:jc w:val="center"/>
            </w:pPr>
            <w:r w:rsidRPr="00E234EE">
              <w:rPr>
                <w:sz w:val="28"/>
              </w:rPr>
              <w:t>3</w:t>
            </w:r>
            <w:r w:rsidR="00225E38">
              <w:rPr>
                <w:sz w:val="28"/>
              </w:rPr>
              <w:t>2</w:t>
            </w:r>
            <w:r w:rsidRPr="00E234EE">
              <w:rPr>
                <w:sz w:val="28"/>
              </w:rPr>
              <w:t>5</w:t>
            </w:r>
          </w:p>
        </w:tc>
      </w:tr>
      <w:tr w:rsidR="004E6E50" w14:paraId="6FD16851" w14:textId="77777777">
        <w:trPr>
          <w:trHeight w:val="1830"/>
        </w:trPr>
        <w:tc>
          <w:tcPr>
            <w:tcW w:w="1975" w:type="dxa"/>
            <w:vMerge/>
            <w:tcBorders>
              <w:top w:val="single" w:sz="4" w:space="0" w:color="000000"/>
              <w:left w:val="single" w:sz="4" w:space="0" w:color="000000"/>
              <w:bottom w:val="single" w:sz="4" w:space="0" w:color="000000"/>
              <w:right w:val="single" w:sz="4" w:space="0" w:color="000000"/>
            </w:tcBorders>
            <w:shd w:val="clear" w:color="auto" w:fill="D9E2F3"/>
          </w:tcPr>
          <w:p w14:paraId="29CA7424" w14:textId="77777777" w:rsidR="004E6E50" w:rsidRDefault="004E6E50" w:rsidP="00E234EE">
            <w:pPr>
              <w:spacing w:before="120" w:after="120"/>
            </w:pPr>
          </w:p>
        </w:tc>
        <w:tc>
          <w:tcPr>
            <w:tcW w:w="4950" w:type="dxa"/>
            <w:vMerge/>
            <w:tcBorders>
              <w:top w:val="single" w:sz="4" w:space="0" w:color="000000"/>
              <w:left w:val="single" w:sz="4" w:space="0" w:color="000000"/>
              <w:bottom w:val="single" w:sz="4" w:space="0" w:color="000000"/>
              <w:right w:val="single" w:sz="4" w:space="0" w:color="000000"/>
            </w:tcBorders>
            <w:shd w:val="clear" w:color="auto" w:fill="auto"/>
          </w:tcPr>
          <w:p w14:paraId="56D6526F" w14:textId="77777777" w:rsidR="004E6E50" w:rsidRDefault="004E6E50" w:rsidP="00E234EE">
            <w:pPr>
              <w:spacing w:before="120" w:after="120"/>
            </w:pPr>
          </w:p>
        </w:tc>
        <w:tc>
          <w:tcPr>
            <w:tcW w:w="10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253F7E" w14:textId="1D250411" w:rsidR="004E6E50" w:rsidRDefault="00B05403" w:rsidP="00E234EE">
            <w:pPr>
              <w:spacing w:before="120" w:after="120" w:line="240" w:lineRule="auto"/>
              <w:jc w:val="both"/>
            </w:pPr>
            <w:r w:rsidRPr="00E234EE">
              <w:rPr>
                <w:b/>
                <w:bCs/>
                <w:sz w:val="24"/>
              </w:rPr>
              <w:t>1. progetti di rigenerazione urbana degli spazi aperti pubblici di borghi, parti di paesi e di città</w:t>
            </w:r>
            <w:r>
              <w:t xml:space="preserve">, </w:t>
            </w:r>
            <w:r w:rsidR="00E770C1">
              <w:t xml:space="preserve">comprensivi di progetti di rigenerazione di aree industriali dismesse, </w:t>
            </w:r>
            <w:r>
              <w:t xml:space="preserve">attraverso una serie di interventi diversi e strettamente integrati tesi a migliorare l'accessibilità, la qualità delle relazioni sociali e della ricreazione negli spazi aperti pubblici </w:t>
            </w:r>
            <w:r w:rsidR="00E770C1">
              <w:t>mediante</w:t>
            </w:r>
            <w:r>
              <w:t xml:space="preserve"> </w:t>
            </w:r>
            <w:r w:rsidR="00E770C1">
              <w:t xml:space="preserve">nuove </w:t>
            </w:r>
            <w:r>
              <w:t>pavimentazioni stradali e degli spazi pubblici, ove possibile drenanti con utilizzo di materiali ecocompatibili, e accessibili a tutte le categorie di utenti</w:t>
            </w:r>
            <w:r w:rsidR="00E770C1">
              <w:t>, con l’</w:t>
            </w:r>
            <w:r>
              <w:t>implementazion</w:t>
            </w:r>
            <w:r w:rsidR="00E770C1">
              <w:t>e</w:t>
            </w:r>
            <w:r>
              <w:t xml:space="preserve"> di sistemi verdi di immediata efficacia per il comfort urbano e per la riduzione degli effetti del cambiamento climatico</w:t>
            </w:r>
            <w:r w:rsidR="00E770C1">
              <w:t xml:space="preserve"> e con la </w:t>
            </w:r>
            <w:r>
              <w:t>realizzazione di sotto</w:t>
            </w:r>
            <w:r w:rsidR="00132ABF">
              <w:t>-</w:t>
            </w:r>
            <w:r>
              <w:t xml:space="preserve">servizi e nuove forme di illuminazione </w:t>
            </w:r>
            <w:r w:rsidR="00E770C1">
              <w:t>(</w:t>
            </w:r>
            <w:r>
              <w:t>con LED e fotovoltaico</w:t>
            </w:r>
            <w:r w:rsidR="00E770C1">
              <w:t>) ad</w:t>
            </w:r>
            <w:r>
              <w:t xml:space="preserve"> integrazione/sostituzione di quelle esistenti</w:t>
            </w:r>
            <w:r w:rsidR="00E770C1">
              <w:t xml:space="preserve"> oltre ad </w:t>
            </w:r>
            <w:r>
              <w:t xml:space="preserve"> aree di sosta, </w:t>
            </w:r>
            <w:r w:rsidR="00E770C1">
              <w:t xml:space="preserve">a </w:t>
            </w:r>
            <w:r>
              <w:t xml:space="preserve">parcheggi attrezzati e </w:t>
            </w:r>
            <w:r w:rsidR="00E770C1">
              <w:t xml:space="preserve">ad </w:t>
            </w:r>
            <w:r>
              <w:t>aree di scambio, per un costo totale di 2</w:t>
            </w:r>
            <w:r w:rsidR="00225E38">
              <w:t>0</w:t>
            </w:r>
            <w:r>
              <w:t>0 MLN;</w:t>
            </w:r>
          </w:p>
        </w:tc>
        <w:tc>
          <w:tcPr>
            <w:tcW w:w="2880" w:type="dxa"/>
            <w:vMerge/>
            <w:tcBorders>
              <w:top w:val="single" w:sz="4" w:space="0" w:color="000000"/>
              <w:left w:val="single" w:sz="4" w:space="0" w:color="000000"/>
              <w:bottom w:val="single" w:sz="4" w:space="0" w:color="000000"/>
              <w:right w:val="single" w:sz="4" w:space="0" w:color="000000"/>
            </w:tcBorders>
            <w:shd w:val="clear" w:color="auto" w:fill="auto"/>
          </w:tcPr>
          <w:p w14:paraId="6B01B670" w14:textId="77777777" w:rsidR="004E6E50" w:rsidRDefault="004E6E50" w:rsidP="00E234EE">
            <w:pPr>
              <w:spacing w:before="120" w:after="120"/>
            </w:pP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Pr>
          <w:p w14:paraId="3BC0D5A8" w14:textId="77777777" w:rsidR="004E6E50" w:rsidRDefault="004E6E50" w:rsidP="00E234EE">
            <w:pPr>
              <w:spacing w:before="120" w:after="120"/>
            </w:pPr>
          </w:p>
        </w:tc>
      </w:tr>
      <w:tr w:rsidR="004E6E50" w14:paraId="4902DDF3" w14:textId="77777777">
        <w:trPr>
          <w:trHeight w:val="790"/>
        </w:trPr>
        <w:tc>
          <w:tcPr>
            <w:tcW w:w="1975" w:type="dxa"/>
            <w:vMerge/>
            <w:tcBorders>
              <w:top w:val="single" w:sz="4" w:space="0" w:color="000000"/>
              <w:left w:val="single" w:sz="4" w:space="0" w:color="000000"/>
              <w:bottom w:val="single" w:sz="4" w:space="0" w:color="000000"/>
              <w:right w:val="single" w:sz="4" w:space="0" w:color="000000"/>
            </w:tcBorders>
            <w:shd w:val="clear" w:color="auto" w:fill="D9E2F3"/>
          </w:tcPr>
          <w:p w14:paraId="4F9BE6E8" w14:textId="77777777" w:rsidR="004E6E50" w:rsidRDefault="004E6E50" w:rsidP="00E234EE">
            <w:pPr>
              <w:spacing w:before="120" w:after="120"/>
            </w:pPr>
          </w:p>
        </w:tc>
        <w:tc>
          <w:tcPr>
            <w:tcW w:w="4950" w:type="dxa"/>
            <w:vMerge/>
            <w:tcBorders>
              <w:top w:val="single" w:sz="4" w:space="0" w:color="000000"/>
              <w:left w:val="single" w:sz="4" w:space="0" w:color="000000"/>
              <w:bottom w:val="single" w:sz="4" w:space="0" w:color="000000"/>
              <w:right w:val="single" w:sz="4" w:space="0" w:color="000000"/>
            </w:tcBorders>
            <w:shd w:val="clear" w:color="auto" w:fill="auto"/>
          </w:tcPr>
          <w:p w14:paraId="2AF6394F" w14:textId="77777777" w:rsidR="004E6E50" w:rsidRDefault="004E6E50" w:rsidP="00E234EE">
            <w:pPr>
              <w:spacing w:before="120" w:after="120"/>
            </w:pPr>
          </w:p>
        </w:tc>
        <w:tc>
          <w:tcPr>
            <w:tcW w:w="10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015C2C" w14:textId="19305522" w:rsidR="004E6E50" w:rsidRDefault="00B05403" w:rsidP="00E234EE">
            <w:pPr>
              <w:spacing w:before="120" w:after="120" w:line="240" w:lineRule="auto"/>
              <w:jc w:val="both"/>
            </w:pPr>
            <w:r w:rsidRPr="00E234EE">
              <w:rPr>
                <w:b/>
                <w:bCs/>
                <w:sz w:val="24"/>
              </w:rPr>
              <w:t>2. progetti per la conservazione e fruizione dei beni culturali</w:t>
            </w:r>
            <w:r w:rsidRPr="00E234EE">
              <w:rPr>
                <w:sz w:val="24"/>
              </w:rPr>
              <w:t xml:space="preserve"> </w:t>
            </w:r>
            <w:r>
              <w:t>(e.g. 3 Depositi di sicurezza per beni mobili e annessi laboratori di restauro e due interventi presso il Museo Nazionale d</w:t>
            </w:r>
            <w:r w:rsidR="007E2F37">
              <w:t>i L’Aquila</w:t>
            </w:r>
            <w:r>
              <w:t xml:space="preserve">), ivi inclusi interventi per l'abbattimento delle barriere che limitano l'accesso alle persone con disabilità, per un costo totale di </w:t>
            </w:r>
            <w:r w:rsidR="00E770C1">
              <w:t>2</w:t>
            </w:r>
            <w:r>
              <w:t>5 MLN;</w:t>
            </w:r>
          </w:p>
        </w:tc>
        <w:tc>
          <w:tcPr>
            <w:tcW w:w="2880" w:type="dxa"/>
            <w:vMerge/>
            <w:tcBorders>
              <w:top w:val="single" w:sz="4" w:space="0" w:color="000000"/>
              <w:left w:val="single" w:sz="4" w:space="0" w:color="000000"/>
              <w:bottom w:val="single" w:sz="4" w:space="0" w:color="000000"/>
              <w:right w:val="single" w:sz="4" w:space="0" w:color="000000"/>
            </w:tcBorders>
            <w:shd w:val="clear" w:color="auto" w:fill="auto"/>
          </w:tcPr>
          <w:p w14:paraId="2639E0F9" w14:textId="77777777" w:rsidR="004E6E50" w:rsidRDefault="004E6E50" w:rsidP="00E234EE">
            <w:pPr>
              <w:spacing w:before="120" w:after="120"/>
            </w:pP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Pr>
          <w:p w14:paraId="157873E5" w14:textId="77777777" w:rsidR="004E6E50" w:rsidRDefault="004E6E50" w:rsidP="00E234EE">
            <w:pPr>
              <w:spacing w:before="120" w:after="120"/>
            </w:pPr>
          </w:p>
        </w:tc>
      </w:tr>
      <w:tr w:rsidR="004E6E50" w14:paraId="7634E193" w14:textId="77777777">
        <w:trPr>
          <w:trHeight w:val="2090"/>
        </w:trPr>
        <w:tc>
          <w:tcPr>
            <w:tcW w:w="1975" w:type="dxa"/>
            <w:vMerge/>
            <w:tcBorders>
              <w:top w:val="single" w:sz="4" w:space="0" w:color="000000"/>
              <w:left w:val="single" w:sz="4" w:space="0" w:color="000000"/>
              <w:bottom w:val="single" w:sz="4" w:space="0" w:color="000000"/>
              <w:right w:val="single" w:sz="4" w:space="0" w:color="000000"/>
            </w:tcBorders>
            <w:shd w:val="clear" w:color="auto" w:fill="D9E2F3"/>
          </w:tcPr>
          <w:p w14:paraId="0E09913E" w14:textId="77777777" w:rsidR="004E6E50" w:rsidRDefault="004E6E50" w:rsidP="00E234EE">
            <w:pPr>
              <w:spacing w:before="120" w:after="120"/>
            </w:pPr>
          </w:p>
        </w:tc>
        <w:tc>
          <w:tcPr>
            <w:tcW w:w="4950" w:type="dxa"/>
            <w:vMerge/>
            <w:tcBorders>
              <w:top w:val="single" w:sz="4" w:space="0" w:color="000000"/>
              <w:left w:val="single" w:sz="4" w:space="0" w:color="000000"/>
              <w:bottom w:val="single" w:sz="4" w:space="0" w:color="000000"/>
              <w:right w:val="single" w:sz="4" w:space="0" w:color="000000"/>
            </w:tcBorders>
            <w:shd w:val="clear" w:color="auto" w:fill="auto"/>
          </w:tcPr>
          <w:p w14:paraId="2015A276" w14:textId="77777777" w:rsidR="004E6E50" w:rsidRDefault="004E6E50" w:rsidP="00E234EE">
            <w:pPr>
              <w:spacing w:before="120" w:after="120"/>
            </w:pPr>
          </w:p>
        </w:tc>
        <w:tc>
          <w:tcPr>
            <w:tcW w:w="10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A0F34" w14:textId="77777777" w:rsidR="00B24424" w:rsidRDefault="00B05403" w:rsidP="00D873D6">
            <w:pPr>
              <w:spacing w:before="120" w:after="120" w:line="240" w:lineRule="auto"/>
              <w:jc w:val="both"/>
              <w:rPr>
                <w:b/>
                <w:bCs/>
                <w:sz w:val="24"/>
                <w:szCs w:val="24"/>
              </w:rPr>
            </w:pPr>
            <w:r w:rsidRPr="009343AD">
              <w:rPr>
                <w:b/>
                <w:bCs/>
                <w:sz w:val="24"/>
                <w:szCs w:val="24"/>
              </w:rPr>
              <w:t xml:space="preserve">3. </w:t>
            </w:r>
          </w:p>
          <w:p w14:paraId="46DC24D7" w14:textId="367E96C0" w:rsidR="00D873D6" w:rsidRPr="00B24424" w:rsidRDefault="00B24424" w:rsidP="00D873D6">
            <w:pPr>
              <w:spacing w:before="120" w:after="120" w:line="240" w:lineRule="auto"/>
              <w:jc w:val="both"/>
              <w:rPr>
                <w:b/>
                <w:bCs/>
                <w:sz w:val="24"/>
                <w:szCs w:val="24"/>
              </w:rPr>
            </w:pPr>
            <w:r>
              <w:rPr>
                <w:b/>
                <w:bCs/>
                <w:sz w:val="24"/>
                <w:szCs w:val="24"/>
              </w:rPr>
              <w:t xml:space="preserve">A) </w:t>
            </w:r>
            <w:r w:rsidR="00B05403" w:rsidRPr="009343AD">
              <w:rPr>
                <w:b/>
                <w:bCs/>
                <w:sz w:val="24"/>
                <w:szCs w:val="24"/>
              </w:rPr>
              <w:t xml:space="preserve">realizzazione, implementazione e consolidamento di </w:t>
            </w:r>
            <w:r w:rsidR="008F0C5B" w:rsidRPr="009343AD">
              <w:rPr>
                <w:b/>
                <w:bCs/>
                <w:sz w:val="24"/>
                <w:szCs w:val="24"/>
              </w:rPr>
              <w:t>percorsi e cammini</w:t>
            </w:r>
            <w:r w:rsidR="00B05403" w:rsidRPr="009343AD">
              <w:rPr>
                <w:b/>
                <w:bCs/>
                <w:sz w:val="24"/>
                <w:szCs w:val="24"/>
              </w:rPr>
              <w:t xml:space="preserve"> culturali</w:t>
            </w:r>
            <w:r w:rsidR="008F0C5B" w:rsidRPr="009343AD">
              <w:rPr>
                <w:b/>
                <w:bCs/>
                <w:sz w:val="24"/>
                <w:szCs w:val="24"/>
              </w:rPr>
              <w:t>,</w:t>
            </w:r>
            <w:r w:rsidR="00B05403" w:rsidRPr="009343AD">
              <w:rPr>
                <w:b/>
                <w:bCs/>
                <w:sz w:val="24"/>
                <w:szCs w:val="24"/>
              </w:rPr>
              <w:t xml:space="preserve"> tematici</w:t>
            </w:r>
            <w:r w:rsidR="008F0C5B" w:rsidRPr="009343AD">
              <w:rPr>
                <w:b/>
                <w:bCs/>
                <w:sz w:val="24"/>
                <w:szCs w:val="24"/>
              </w:rPr>
              <w:t xml:space="preserve"> e storici</w:t>
            </w:r>
            <w:r w:rsidR="00B05403" w:rsidRPr="009343AD">
              <w:t xml:space="preserve">, </w:t>
            </w:r>
            <w:r w:rsidR="008F0C5B" w:rsidRPr="009343AD">
              <w:t xml:space="preserve">anche attraverso l’acquisto di mezzi funzionali alla loro completa fruizione, percorsi </w:t>
            </w:r>
            <w:r w:rsidR="00B05403" w:rsidRPr="009343AD">
              <w:t>ciclabili e pedonali per il collegamento</w:t>
            </w:r>
            <w:r w:rsidR="00DF543E" w:rsidRPr="009343AD">
              <w:t xml:space="preserve"> tra</w:t>
            </w:r>
            <w:r w:rsidR="00B05403" w:rsidRPr="009343AD">
              <w:t xml:space="preserve"> luoghi di interesse turistico, ambientale e culturale, in grado di connettere città e territori circostanti</w:t>
            </w:r>
            <w:r w:rsidR="008F0C5B" w:rsidRPr="009343AD">
              <w:t>.</w:t>
            </w:r>
            <w:r>
              <w:rPr>
                <w:b/>
                <w:bCs/>
                <w:sz w:val="24"/>
                <w:szCs w:val="24"/>
              </w:rPr>
              <w:t xml:space="preserve"> B) </w:t>
            </w:r>
            <w:r w:rsidR="00D873D6" w:rsidRPr="009343AD">
              <w:rPr>
                <w:b/>
                <w:bCs/>
                <w:sz w:val="24"/>
                <w:szCs w:val="24"/>
              </w:rPr>
              <w:t>avvio della r</w:t>
            </w:r>
            <w:r w:rsidR="00B05403" w:rsidRPr="009343AD">
              <w:rPr>
                <w:b/>
                <w:bCs/>
                <w:sz w:val="24"/>
                <w:szCs w:val="24"/>
              </w:rPr>
              <w:t>ifunzionalizzazione</w:t>
            </w:r>
            <w:r w:rsidR="00D873D6" w:rsidRPr="009343AD">
              <w:rPr>
                <w:b/>
                <w:bCs/>
                <w:sz w:val="24"/>
                <w:szCs w:val="24"/>
              </w:rPr>
              <w:t xml:space="preserve"> delle</w:t>
            </w:r>
            <w:r w:rsidR="00B05403" w:rsidRPr="009343AD">
              <w:rPr>
                <w:b/>
                <w:bCs/>
                <w:sz w:val="24"/>
                <w:szCs w:val="24"/>
              </w:rPr>
              <w:t xml:space="preserve"> Soluzioni Abitative di Emergenza (SAE)</w:t>
            </w:r>
            <w:r w:rsidR="00B05403" w:rsidRPr="009343AD">
              <w:t xml:space="preserve">, da </w:t>
            </w:r>
            <w:r w:rsidR="00D873D6" w:rsidRPr="009343AD">
              <w:t>destinare</w:t>
            </w:r>
            <w:r w:rsidR="00B05403" w:rsidRPr="009343AD">
              <w:t xml:space="preserve"> a fini turistici, sportivi e ambientali. </w:t>
            </w:r>
          </w:p>
          <w:p w14:paraId="0F4F88EA" w14:textId="7DF4E192" w:rsidR="00D873D6" w:rsidRPr="009343AD" w:rsidRDefault="00B24424" w:rsidP="00D873D6">
            <w:pPr>
              <w:spacing w:before="120" w:after="120" w:line="240" w:lineRule="auto"/>
              <w:jc w:val="both"/>
            </w:pPr>
            <w:r>
              <w:rPr>
                <w:b/>
                <w:bCs/>
                <w:sz w:val="24"/>
                <w:szCs w:val="24"/>
              </w:rPr>
              <w:t xml:space="preserve">C) </w:t>
            </w:r>
            <w:r w:rsidR="00D873D6" w:rsidRPr="009343AD">
              <w:rPr>
                <w:b/>
                <w:bCs/>
                <w:sz w:val="24"/>
                <w:szCs w:val="24"/>
              </w:rPr>
              <w:t>i</w:t>
            </w:r>
            <w:r w:rsidR="00B05403" w:rsidRPr="009343AD">
              <w:rPr>
                <w:b/>
                <w:bCs/>
                <w:sz w:val="24"/>
                <w:szCs w:val="24"/>
              </w:rPr>
              <w:t>nterventi per l'ammodernamento e la messa in sicurezza di impianti sportivi, ricreativi e di risalita</w:t>
            </w:r>
            <w:r w:rsidR="00D873D6" w:rsidRPr="009343AD">
              <w:t>,</w:t>
            </w:r>
            <w:r w:rsidR="00B05403" w:rsidRPr="009343AD">
              <w:t xml:space="preserve"> </w:t>
            </w:r>
          </w:p>
          <w:p w14:paraId="79063F69" w14:textId="340E8D74" w:rsidR="004E6E50" w:rsidRDefault="00B05403" w:rsidP="00E234EE">
            <w:pPr>
              <w:spacing w:before="120" w:after="120" w:line="240" w:lineRule="auto"/>
              <w:jc w:val="both"/>
            </w:pPr>
            <w:r w:rsidRPr="009343AD">
              <w:t>per un costo totale</w:t>
            </w:r>
            <w:r w:rsidR="00D873D6" w:rsidRPr="009343AD">
              <w:t>, per</w:t>
            </w:r>
            <w:r w:rsidRPr="009343AD">
              <w:t xml:space="preserve"> </w:t>
            </w:r>
            <w:r w:rsidR="00D873D6" w:rsidRPr="009343AD">
              <w:t>le tre</w:t>
            </w:r>
            <w:r w:rsidR="009343AD">
              <w:t xml:space="preserve"> misure al punto 3</w:t>
            </w:r>
            <w:r w:rsidR="00D873D6" w:rsidRPr="009343AD">
              <w:t xml:space="preserve">, </w:t>
            </w:r>
            <w:r w:rsidRPr="009343AD">
              <w:t>di 100 MLN.</w:t>
            </w:r>
          </w:p>
        </w:tc>
        <w:tc>
          <w:tcPr>
            <w:tcW w:w="2880" w:type="dxa"/>
            <w:vMerge/>
            <w:tcBorders>
              <w:top w:val="single" w:sz="4" w:space="0" w:color="000000"/>
              <w:left w:val="single" w:sz="4" w:space="0" w:color="000000"/>
              <w:bottom w:val="single" w:sz="4" w:space="0" w:color="000000"/>
              <w:right w:val="single" w:sz="4" w:space="0" w:color="000000"/>
            </w:tcBorders>
            <w:shd w:val="clear" w:color="auto" w:fill="auto"/>
          </w:tcPr>
          <w:p w14:paraId="7FBBA856" w14:textId="77777777" w:rsidR="004E6E50" w:rsidRDefault="004E6E50" w:rsidP="00E234EE">
            <w:pPr>
              <w:spacing w:before="120" w:after="120"/>
            </w:pP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tcPr>
          <w:p w14:paraId="5D35DB8F" w14:textId="77777777" w:rsidR="004E6E50" w:rsidRDefault="004E6E50" w:rsidP="00E234EE">
            <w:pPr>
              <w:spacing w:before="120" w:after="120"/>
            </w:pPr>
          </w:p>
        </w:tc>
      </w:tr>
    </w:tbl>
    <w:p w14:paraId="65BEC26E" w14:textId="77777777" w:rsidR="004E6E50" w:rsidRDefault="004E6E50" w:rsidP="00E234EE">
      <w:pPr>
        <w:widowControl w:val="0"/>
        <w:spacing w:before="120" w:after="120" w:line="240" w:lineRule="auto"/>
        <w:ind w:left="108" w:hanging="108"/>
      </w:pPr>
    </w:p>
    <w:p w14:paraId="6235E3E1" w14:textId="77777777" w:rsidR="004E6E50" w:rsidRDefault="004E6E50" w:rsidP="00E234EE">
      <w:pPr>
        <w:widowControl w:val="0"/>
        <w:spacing w:before="120" w:after="120" w:line="240" w:lineRule="auto"/>
      </w:pPr>
    </w:p>
    <w:p w14:paraId="48741A7C" w14:textId="77777777" w:rsidR="004E6E50" w:rsidRDefault="004E6E50" w:rsidP="00E234EE">
      <w:pPr>
        <w:widowControl w:val="0"/>
        <w:spacing w:before="120" w:after="120" w:line="240" w:lineRule="auto"/>
        <w:sectPr w:rsidR="004E6E50">
          <w:pgSz w:w="23820" w:h="16840" w:orient="landscape"/>
          <w:pgMar w:top="720" w:right="720" w:bottom="720" w:left="720" w:header="720" w:footer="720" w:gutter="0"/>
          <w:pgNumType w:start="1"/>
          <w:cols w:space="720"/>
        </w:sectPr>
      </w:pPr>
    </w:p>
    <w:tbl>
      <w:tblPr>
        <w:tblStyle w:val="TableNormal"/>
        <w:tblW w:w="22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31"/>
        <w:gridCol w:w="5103"/>
        <w:gridCol w:w="10201"/>
        <w:gridCol w:w="2273"/>
        <w:gridCol w:w="2452"/>
      </w:tblGrid>
      <w:tr w:rsidR="004E6E50" w14:paraId="5369435B" w14:textId="77777777" w:rsidTr="00E234EE">
        <w:trPr>
          <w:trHeight w:val="280"/>
        </w:trPr>
        <w:tc>
          <w:tcPr>
            <w:tcW w:w="233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2928E888" w14:textId="3FFF7D7E" w:rsidR="004E6E50" w:rsidRDefault="00B05403" w:rsidP="00E234EE">
            <w:pPr>
              <w:spacing w:before="120" w:after="120" w:line="240" w:lineRule="auto"/>
              <w:jc w:val="center"/>
            </w:pPr>
            <w:r>
              <w:rPr>
                <w:b/>
                <w:bCs/>
              </w:rPr>
              <w:lastRenderedPageBreak/>
              <w:t>SUB-MISURA A</w:t>
            </w:r>
            <w:r w:rsidR="00945607">
              <w:rPr>
                <w:b/>
                <w:bCs/>
              </w:rPr>
              <w:t>4</w:t>
            </w:r>
          </w:p>
        </w:tc>
        <w:tc>
          <w:tcPr>
            <w:tcW w:w="5103"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216D68F3" w14:textId="77777777" w:rsidR="004E6E50" w:rsidRDefault="00B05403" w:rsidP="00E234EE">
            <w:pPr>
              <w:spacing w:before="120" w:after="120" w:line="240" w:lineRule="auto"/>
              <w:jc w:val="center"/>
            </w:pPr>
            <w:r>
              <w:rPr>
                <w:b/>
                <w:bCs/>
              </w:rPr>
              <w:t>FINALITÀ SPECIFICHE</w:t>
            </w:r>
          </w:p>
        </w:tc>
        <w:tc>
          <w:tcPr>
            <w:tcW w:w="1020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7D5FE6F3" w14:textId="77777777" w:rsidR="004E6E50" w:rsidRDefault="00B05403" w:rsidP="00E234EE">
            <w:pPr>
              <w:spacing w:before="120" w:after="120" w:line="240" w:lineRule="auto"/>
              <w:jc w:val="center"/>
            </w:pPr>
            <w:r>
              <w:rPr>
                <w:b/>
                <w:bCs/>
              </w:rPr>
              <w:t>OBIETTIVO DI REALIZZAZIONE</w:t>
            </w:r>
          </w:p>
        </w:tc>
        <w:tc>
          <w:tcPr>
            <w:tcW w:w="2273"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632BECB7" w14:textId="77777777" w:rsidR="004E6E50" w:rsidRDefault="00B05403" w:rsidP="00E234EE">
            <w:pPr>
              <w:spacing w:before="120" w:after="120" w:line="240" w:lineRule="auto"/>
              <w:jc w:val="center"/>
            </w:pPr>
            <w:r>
              <w:rPr>
                <w:b/>
                <w:bCs/>
              </w:rPr>
              <w:t>RESPONSABILE ATTUAZIONE</w:t>
            </w:r>
          </w:p>
        </w:tc>
        <w:tc>
          <w:tcPr>
            <w:tcW w:w="2452"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27250CD0" w14:textId="77777777" w:rsidR="004E6E50" w:rsidRDefault="00B05403" w:rsidP="00E234EE">
            <w:pPr>
              <w:spacing w:before="120" w:after="120" w:line="240" w:lineRule="auto"/>
              <w:jc w:val="center"/>
            </w:pPr>
            <w:r>
              <w:rPr>
                <w:b/>
                <w:bCs/>
              </w:rPr>
              <w:t>RISORSE (MLN €)</w:t>
            </w:r>
          </w:p>
        </w:tc>
      </w:tr>
      <w:tr w:rsidR="004E6E50" w14:paraId="166A5BF6" w14:textId="77777777" w:rsidTr="00E234EE">
        <w:trPr>
          <w:trHeight w:val="2195"/>
        </w:trPr>
        <w:tc>
          <w:tcPr>
            <w:tcW w:w="2331" w:type="dxa"/>
            <w:vMerge w:val="restart"/>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vAlign w:val="center"/>
          </w:tcPr>
          <w:p w14:paraId="0849D1F4" w14:textId="77777777" w:rsidR="004E6E50" w:rsidRPr="00E234EE" w:rsidRDefault="00B05403" w:rsidP="00E234EE">
            <w:pPr>
              <w:spacing w:before="120" w:after="120" w:line="240" w:lineRule="auto"/>
              <w:jc w:val="center"/>
              <w:rPr>
                <w:b/>
                <w:bCs/>
                <w:sz w:val="24"/>
              </w:rPr>
            </w:pPr>
            <w:r w:rsidRPr="00E234EE">
              <w:rPr>
                <w:b/>
                <w:bCs/>
                <w:sz w:val="24"/>
              </w:rPr>
              <w:t>A4</w:t>
            </w:r>
          </w:p>
          <w:p w14:paraId="13083398" w14:textId="77777777" w:rsidR="004E6E50" w:rsidRDefault="00B05403" w:rsidP="00E234EE">
            <w:pPr>
              <w:spacing w:before="120" w:after="120" w:line="240" w:lineRule="auto"/>
              <w:jc w:val="center"/>
            </w:pPr>
            <w:r w:rsidRPr="00E234EE">
              <w:rPr>
                <w:b/>
                <w:bCs/>
                <w:sz w:val="24"/>
              </w:rPr>
              <w:t>INFRASTRUTTURE E MOBILITÀ</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148419" w14:textId="011CB71C" w:rsidR="00C072D0" w:rsidRPr="00C072D0" w:rsidRDefault="008A3A6F" w:rsidP="008A3A6F">
            <w:pPr>
              <w:spacing w:after="0" w:line="240" w:lineRule="auto"/>
              <w:jc w:val="both"/>
              <w:rPr>
                <w:rFonts w:cs="Calibri"/>
                <w:color w:val="212121"/>
              </w:rPr>
            </w:pPr>
            <w:r>
              <w:rPr>
                <w:rFonts w:cs="Calibri"/>
                <w:color w:val="212121"/>
              </w:rPr>
              <w:t>La sottomisura mira a rafforzare il tessuto infrastrutturale delle reti stradali della viabilità che collega i borghi, le potenzialità e la qualità della mobilità, in particolare quella relativa al trasporto pubblico locale, mediante nuove e più specifiche modalità di fruizione (bus a chiamata, servizi ritagliati per le specifiche esigenze di una popolazione residente in maniera diffusa sul territorio e poco concentrata nei centri urbani).</w:t>
            </w:r>
          </w:p>
          <w:p w14:paraId="4910D66D" w14:textId="2414F750" w:rsidR="008A3A6F" w:rsidRDefault="008A3A6F" w:rsidP="008A3A6F">
            <w:pPr>
              <w:jc w:val="both"/>
              <w:rPr>
                <w:rFonts w:ascii="Segoe UI" w:hAnsi="Segoe UI" w:cs="Segoe UI"/>
                <w:color w:val="212121"/>
                <w:sz w:val="23"/>
                <w:szCs w:val="23"/>
              </w:rPr>
            </w:pPr>
            <w:r>
              <w:rPr>
                <w:rFonts w:cs="Calibri"/>
                <w:color w:val="212121"/>
              </w:rPr>
              <w:t>Vi è, inoltre, la realizzazione di sistemi innovativi per implementare il TPL anche mediante l’utilizzo di mezzi con combustibile ad idrogeno, di cui si intendono realizzare dei punti di produzione a servizio del trasporto ferroviario locale, ma che produrranno risorse energetiche anche per altri usi produttivi e che potranno fungere da volano attrattivo per una pluralità di imprese e servizi.</w:t>
            </w:r>
          </w:p>
          <w:p w14:paraId="25FEE100" w14:textId="77777777" w:rsidR="008A3A6F" w:rsidRDefault="008A3A6F" w:rsidP="008A3A6F">
            <w:pPr>
              <w:jc w:val="both"/>
              <w:rPr>
                <w:rFonts w:ascii="Segoe UI" w:hAnsi="Segoe UI" w:cs="Segoe UI"/>
                <w:color w:val="212121"/>
                <w:sz w:val="23"/>
                <w:szCs w:val="23"/>
              </w:rPr>
            </w:pPr>
            <w:r>
              <w:rPr>
                <w:rFonts w:cs="Calibri"/>
                <w:color w:val="212121"/>
              </w:rPr>
              <w:t>Si intende, inoltre, aumentare l'attrattività e la varietà di offerta della mobilità locale (anche attraverso sistemi di localizzazione, prenotazione e chiamate digitali), del trasporto condiviso e della bicicletta.</w:t>
            </w:r>
          </w:p>
          <w:p w14:paraId="0E3E0E5C" w14:textId="77777777" w:rsidR="00C072D0" w:rsidRDefault="008A3A6F" w:rsidP="008A3A6F">
            <w:pPr>
              <w:jc w:val="both"/>
              <w:rPr>
                <w:rFonts w:cs="Calibri"/>
                <w:color w:val="212121"/>
              </w:rPr>
            </w:pPr>
            <w:r>
              <w:rPr>
                <w:rFonts w:cs="Calibri"/>
                <w:color w:val="212121"/>
              </w:rPr>
              <w:t xml:space="preserve">Le infrastrutture e l’intermodalità tra i diversi tipi di trasporto (hub per connessioni tra percorsi veloci/ lenti) saranno rafforzate mediante il potenziamento del trasporto pubblico urbano ed extraurbano e della rete viaria, con particolare attenzione, come detto, alla viabilità minore, nonché al sistema infrastrutturale di accesso alle aree del cratere. </w:t>
            </w:r>
          </w:p>
          <w:p w14:paraId="53433D5E" w14:textId="45A962BF" w:rsidR="004E6E50" w:rsidRPr="008A3A6F" w:rsidRDefault="008A3A6F" w:rsidP="008A3A6F">
            <w:pPr>
              <w:jc w:val="both"/>
              <w:rPr>
                <w:rFonts w:ascii="Segoe UI" w:hAnsi="Segoe UI" w:cs="Segoe UI"/>
                <w:color w:val="212121"/>
                <w:sz w:val="23"/>
                <w:szCs w:val="23"/>
              </w:rPr>
            </w:pPr>
            <w:r>
              <w:rPr>
                <w:rFonts w:cs="Calibri"/>
                <w:color w:val="212121"/>
              </w:rPr>
              <w:t>Saranno, infatti, finanziati interventi sulla rete stradale secondaria, oltre ad altri interventi specifici per alcuni lotti della viabilità statale già censiti ed individuati, e studi di fattibilità e progettazioni, limitatamente a procedimenti già avviati ed inseriti nel Contratto di Programma Anas.</w:t>
            </w:r>
          </w:p>
        </w:tc>
        <w:tc>
          <w:tcPr>
            <w:tcW w:w="10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9615B1" w14:textId="77777777" w:rsidR="004E6E50" w:rsidRDefault="00B05403" w:rsidP="00E234EE">
            <w:pPr>
              <w:spacing w:before="120" w:after="120" w:line="240" w:lineRule="auto"/>
              <w:jc w:val="both"/>
            </w:pPr>
            <w:r>
              <w:t>Sostegno al trasporto pubblico locale, urbano ed extra urbano, sia su gomma che su ferro, anche attraverso investimenti nella rivisitazione dei percorsi, inclusi i servizi accessori e la sperimentazione di modalità ecosostenibili, quali l’utilizzo dell’idrogeno, e realizzazione di aree di scambio con l’obiettivo di perseguire l'innovazione e la sostenibilità del TPL e interventi per la viabilità e mobilità, con particolare attenzione al potenziamento della rete secondaria ed alla mobilità “</w:t>
            </w:r>
            <w:proofErr w:type="spellStart"/>
            <w:r>
              <w:t>metromontana</w:t>
            </w:r>
            <w:proofErr w:type="spellEnd"/>
            <w:r>
              <w:t>” che coinvolge il sistema dei parchi dell’Appennino centrale.</w:t>
            </w:r>
          </w:p>
          <w:p w14:paraId="79CAF945" w14:textId="77777777" w:rsidR="004E6E50" w:rsidRDefault="00B05403" w:rsidP="00E234EE">
            <w:pPr>
              <w:spacing w:before="120" w:after="120" w:line="240" w:lineRule="auto"/>
              <w:jc w:val="both"/>
            </w:pPr>
            <w:r>
              <w:t>La sottomisura si articola in tre linee d'intervento integrate e complementari tra loro anche attraverso la partecipazione pubblico/privato:</w:t>
            </w:r>
          </w:p>
        </w:tc>
        <w:tc>
          <w:tcPr>
            <w:tcW w:w="22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C9C153" w14:textId="77777777" w:rsidR="004E6E50" w:rsidRDefault="00B05403" w:rsidP="00E234EE">
            <w:pPr>
              <w:spacing w:before="120" w:after="120" w:line="240" w:lineRule="auto"/>
              <w:jc w:val="center"/>
            </w:pPr>
            <w:r>
              <w:t>Ufficio del Commissario straordinario per il sisma 2016 e Struttura di missione per il sisma 2009, in funzione del territorio di competenza</w:t>
            </w:r>
          </w:p>
        </w:tc>
        <w:tc>
          <w:tcPr>
            <w:tcW w:w="245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0A97B2" w14:textId="25DC2606" w:rsidR="004E6E50" w:rsidRDefault="00D873D6" w:rsidP="00E234EE">
            <w:pPr>
              <w:spacing w:before="120" w:after="120" w:line="240" w:lineRule="auto"/>
              <w:jc w:val="center"/>
            </w:pPr>
            <w:r>
              <w:rPr>
                <w:sz w:val="28"/>
              </w:rPr>
              <w:t>335</w:t>
            </w:r>
          </w:p>
        </w:tc>
      </w:tr>
      <w:tr w:rsidR="004E6E50" w14:paraId="2B74D26A" w14:textId="77777777" w:rsidTr="00E234EE">
        <w:trPr>
          <w:trHeight w:val="1120"/>
        </w:trPr>
        <w:tc>
          <w:tcPr>
            <w:tcW w:w="2331" w:type="dxa"/>
            <w:vMerge/>
            <w:tcBorders>
              <w:top w:val="single" w:sz="4" w:space="0" w:color="000000"/>
              <w:left w:val="single" w:sz="4" w:space="0" w:color="000000"/>
              <w:bottom w:val="single" w:sz="4" w:space="0" w:color="000000"/>
              <w:right w:val="single" w:sz="4" w:space="0" w:color="000000"/>
            </w:tcBorders>
            <w:shd w:val="clear" w:color="auto" w:fill="D9E2F3"/>
          </w:tcPr>
          <w:p w14:paraId="0956AD1C" w14:textId="77777777" w:rsidR="004E6E50" w:rsidRDefault="004E6E50" w:rsidP="00E234EE">
            <w:pPr>
              <w:spacing w:before="120" w:after="120"/>
            </w:pPr>
          </w:p>
        </w:tc>
        <w:tc>
          <w:tcPr>
            <w:tcW w:w="5103" w:type="dxa"/>
            <w:vMerge/>
            <w:tcBorders>
              <w:top w:val="single" w:sz="4" w:space="0" w:color="000000"/>
              <w:left w:val="single" w:sz="4" w:space="0" w:color="000000"/>
              <w:bottom w:val="single" w:sz="4" w:space="0" w:color="000000"/>
              <w:right w:val="single" w:sz="4" w:space="0" w:color="000000"/>
            </w:tcBorders>
            <w:shd w:val="clear" w:color="auto" w:fill="auto"/>
          </w:tcPr>
          <w:p w14:paraId="5D3BBC40" w14:textId="77777777" w:rsidR="004E6E50" w:rsidRDefault="004E6E50" w:rsidP="00E234EE">
            <w:pPr>
              <w:spacing w:before="120" w:after="120"/>
            </w:pPr>
          </w:p>
        </w:tc>
        <w:tc>
          <w:tcPr>
            <w:tcW w:w="10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1BC1D" w14:textId="702E32B1" w:rsidR="004E6E50" w:rsidRDefault="00B05403" w:rsidP="00E234EE">
            <w:pPr>
              <w:spacing w:before="120" w:after="120" w:line="240" w:lineRule="auto"/>
              <w:jc w:val="both"/>
            </w:pPr>
            <w:r w:rsidRPr="00E234EE">
              <w:rPr>
                <w:b/>
                <w:bCs/>
                <w:sz w:val="24"/>
              </w:rPr>
              <w:t>1. rinnovo materiale rotabile su gomma per trasporto extraurbano e locale</w:t>
            </w:r>
            <w:r w:rsidR="00BC1BCC">
              <w:t>, anche mediante l’acquisto di veicoli elettrici</w:t>
            </w:r>
            <w:r w:rsidR="00C63E05">
              <w:t xml:space="preserve">, </w:t>
            </w:r>
            <w:r w:rsidR="00BC1BCC">
              <w:t>di</w:t>
            </w:r>
            <w:r>
              <w:t xml:space="preserve"> nuovi</w:t>
            </w:r>
            <w:r w:rsidR="00BC1BCC">
              <w:t xml:space="preserve"> pu</w:t>
            </w:r>
            <w:r>
              <w:t>nti di ricarica</w:t>
            </w:r>
            <w:r w:rsidR="00C63E05">
              <w:t xml:space="preserve"> ed </w:t>
            </w:r>
            <w:r w:rsidR="0034411F">
              <w:t>interventi per servizi accessori</w:t>
            </w:r>
            <w:r>
              <w:t xml:space="preserve">, per un costo totale di </w:t>
            </w:r>
            <w:r w:rsidR="00251430">
              <w:t xml:space="preserve">30 </w:t>
            </w:r>
            <w:r>
              <w:t>MLN</w:t>
            </w:r>
          </w:p>
        </w:tc>
        <w:tc>
          <w:tcPr>
            <w:tcW w:w="2273" w:type="dxa"/>
            <w:vMerge/>
            <w:tcBorders>
              <w:top w:val="single" w:sz="4" w:space="0" w:color="000000"/>
              <w:left w:val="single" w:sz="4" w:space="0" w:color="000000"/>
              <w:bottom w:val="single" w:sz="4" w:space="0" w:color="000000"/>
              <w:right w:val="single" w:sz="4" w:space="0" w:color="000000"/>
            </w:tcBorders>
            <w:shd w:val="clear" w:color="auto" w:fill="auto"/>
          </w:tcPr>
          <w:p w14:paraId="588A8EB5" w14:textId="77777777" w:rsidR="004E6E50" w:rsidRDefault="004E6E50" w:rsidP="00E234EE">
            <w:pPr>
              <w:spacing w:before="120" w:after="120"/>
            </w:pPr>
          </w:p>
        </w:tc>
        <w:tc>
          <w:tcPr>
            <w:tcW w:w="2452" w:type="dxa"/>
            <w:vMerge/>
            <w:tcBorders>
              <w:top w:val="single" w:sz="4" w:space="0" w:color="000000"/>
              <w:left w:val="single" w:sz="4" w:space="0" w:color="000000"/>
              <w:bottom w:val="single" w:sz="4" w:space="0" w:color="000000"/>
              <w:right w:val="single" w:sz="4" w:space="0" w:color="000000"/>
            </w:tcBorders>
            <w:shd w:val="clear" w:color="auto" w:fill="auto"/>
          </w:tcPr>
          <w:p w14:paraId="56919E5A" w14:textId="77777777" w:rsidR="004E6E50" w:rsidRDefault="004E6E50" w:rsidP="00E234EE">
            <w:pPr>
              <w:spacing w:before="120" w:after="120"/>
            </w:pPr>
          </w:p>
        </w:tc>
      </w:tr>
      <w:tr w:rsidR="004E6E50" w14:paraId="4643CE99" w14:textId="77777777" w:rsidTr="00E234EE">
        <w:trPr>
          <w:trHeight w:val="1232"/>
        </w:trPr>
        <w:tc>
          <w:tcPr>
            <w:tcW w:w="2331" w:type="dxa"/>
            <w:vMerge/>
            <w:tcBorders>
              <w:top w:val="single" w:sz="4" w:space="0" w:color="000000"/>
              <w:left w:val="single" w:sz="4" w:space="0" w:color="000000"/>
              <w:bottom w:val="single" w:sz="4" w:space="0" w:color="000000"/>
              <w:right w:val="single" w:sz="4" w:space="0" w:color="000000"/>
            </w:tcBorders>
            <w:shd w:val="clear" w:color="auto" w:fill="D9E2F3"/>
          </w:tcPr>
          <w:p w14:paraId="3BB8FFAE" w14:textId="77777777" w:rsidR="004E6E50" w:rsidRDefault="004E6E50" w:rsidP="00E234EE">
            <w:pPr>
              <w:spacing w:before="120" w:after="120"/>
            </w:pPr>
          </w:p>
        </w:tc>
        <w:tc>
          <w:tcPr>
            <w:tcW w:w="5103" w:type="dxa"/>
            <w:vMerge/>
            <w:tcBorders>
              <w:top w:val="single" w:sz="4" w:space="0" w:color="000000"/>
              <w:left w:val="single" w:sz="4" w:space="0" w:color="000000"/>
              <w:bottom w:val="single" w:sz="4" w:space="0" w:color="000000"/>
              <w:right w:val="single" w:sz="4" w:space="0" w:color="000000"/>
            </w:tcBorders>
            <w:shd w:val="clear" w:color="auto" w:fill="auto"/>
          </w:tcPr>
          <w:p w14:paraId="43358184" w14:textId="77777777" w:rsidR="004E6E50" w:rsidRDefault="004E6E50" w:rsidP="00E234EE">
            <w:pPr>
              <w:spacing w:before="120" w:after="120"/>
            </w:pPr>
          </w:p>
        </w:tc>
        <w:tc>
          <w:tcPr>
            <w:tcW w:w="1020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6B66D7B" w14:textId="57E64F43" w:rsidR="004E6E50" w:rsidRDefault="00B05403" w:rsidP="00E234EE">
            <w:pPr>
              <w:spacing w:before="120" w:after="120" w:line="240" w:lineRule="auto"/>
              <w:jc w:val="both"/>
            </w:pPr>
            <w:r w:rsidRPr="00E234EE">
              <w:rPr>
                <w:b/>
                <w:bCs/>
                <w:sz w:val="24"/>
              </w:rPr>
              <w:t xml:space="preserve">2. </w:t>
            </w:r>
            <w:r w:rsidR="005D3F18" w:rsidRPr="00E234EE">
              <w:rPr>
                <w:b/>
                <w:bCs/>
                <w:sz w:val="24"/>
              </w:rPr>
              <w:t xml:space="preserve">adeguamento della tratta e </w:t>
            </w:r>
            <w:r w:rsidRPr="00E234EE">
              <w:rPr>
                <w:b/>
                <w:bCs/>
                <w:sz w:val="24"/>
              </w:rPr>
              <w:t>realizzazione dei punti di produzione dell'idrogeno da fonti rinnovabili</w:t>
            </w:r>
            <w:r w:rsidRPr="00E234EE">
              <w:rPr>
                <w:sz w:val="24"/>
              </w:rPr>
              <w:t xml:space="preserve"> </w:t>
            </w:r>
            <w:r>
              <w:t xml:space="preserve">(Green </w:t>
            </w:r>
            <w:proofErr w:type="spellStart"/>
            <w:r>
              <w:t>Hydrogen</w:t>
            </w:r>
            <w:proofErr w:type="spellEnd"/>
            <w:r>
              <w:t xml:space="preserve">) di tipo on-site, </w:t>
            </w:r>
            <w:r w:rsidR="005D3F18">
              <w:t>per la</w:t>
            </w:r>
            <w:r>
              <w:t xml:space="preserve"> tratta ferroviaria Sulmona - L'Aquila - Rieti - Terni, per un costo totale di 50 MLN</w:t>
            </w:r>
          </w:p>
        </w:tc>
        <w:tc>
          <w:tcPr>
            <w:tcW w:w="2273" w:type="dxa"/>
            <w:vMerge/>
            <w:tcBorders>
              <w:top w:val="single" w:sz="4" w:space="0" w:color="000000"/>
              <w:left w:val="single" w:sz="4" w:space="0" w:color="000000"/>
              <w:bottom w:val="single" w:sz="4" w:space="0" w:color="000000"/>
              <w:right w:val="single" w:sz="4" w:space="0" w:color="000000"/>
            </w:tcBorders>
            <w:shd w:val="clear" w:color="auto" w:fill="auto"/>
          </w:tcPr>
          <w:p w14:paraId="4F93014B" w14:textId="77777777" w:rsidR="004E6E50" w:rsidRDefault="004E6E50" w:rsidP="00E234EE">
            <w:pPr>
              <w:spacing w:before="120" w:after="120"/>
            </w:pPr>
          </w:p>
        </w:tc>
        <w:tc>
          <w:tcPr>
            <w:tcW w:w="2452" w:type="dxa"/>
            <w:vMerge/>
            <w:tcBorders>
              <w:top w:val="single" w:sz="4" w:space="0" w:color="000000"/>
              <w:left w:val="single" w:sz="4" w:space="0" w:color="000000"/>
              <w:bottom w:val="single" w:sz="4" w:space="0" w:color="000000"/>
              <w:right w:val="single" w:sz="4" w:space="0" w:color="000000"/>
            </w:tcBorders>
            <w:shd w:val="clear" w:color="auto" w:fill="auto"/>
          </w:tcPr>
          <w:p w14:paraId="55A56C97" w14:textId="77777777" w:rsidR="004E6E50" w:rsidRDefault="004E6E50" w:rsidP="00E234EE">
            <w:pPr>
              <w:spacing w:before="120" w:after="120"/>
            </w:pPr>
          </w:p>
        </w:tc>
      </w:tr>
      <w:tr w:rsidR="00696889" w14:paraId="1E28AAE0" w14:textId="77777777" w:rsidTr="00163993">
        <w:trPr>
          <w:trHeight w:val="961"/>
        </w:trPr>
        <w:tc>
          <w:tcPr>
            <w:tcW w:w="2331" w:type="dxa"/>
            <w:vMerge/>
            <w:tcBorders>
              <w:top w:val="single" w:sz="4" w:space="0" w:color="000000"/>
              <w:left w:val="single" w:sz="4" w:space="0" w:color="000000"/>
              <w:bottom w:val="single" w:sz="4" w:space="0" w:color="000000"/>
              <w:right w:val="single" w:sz="4" w:space="0" w:color="000000"/>
            </w:tcBorders>
            <w:shd w:val="clear" w:color="auto" w:fill="D9E2F3"/>
          </w:tcPr>
          <w:p w14:paraId="2E7F330D" w14:textId="77777777" w:rsidR="00696889" w:rsidRDefault="00696889" w:rsidP="00E234EE">
            <w:pPr>
              <w:spacing w:before="120" w:after="120"/>
            </w:pPr>
          </w:p>
        </w:tc>
        <w:tc>
          <w:tcPr>
            <w:tcW w:w="5103" w:type="dxa"/>
            <w:vMerge/>
            <w:tcBorders>
              <w:top w:val="single" w:sz="4" w:space="0" w:color="000000"/>
              <w:left w:val="single" w:sz="4" w:space="0" w:color="000000"/>
              <w:bottom w:val="single" w:sz="4" w:space="0" w:color="000000"/>
              <w:right w:val="single" w:sz="4" w:space="0" w:color="000000"/>
            </w:tcBorders>
            <w:shd w:val="clear" w:color="auto" w:fill="auto"/>
          </w:tcPr>
          <w:p w14:paraId="60D63C55" w14:textId="77777777" w:rsidR="00696889" w:rsidRDefault="00696889" w:rsidP="00E234EE">
            <w:pPr>
              <w:spacing w:before="120" w:after="120"/>
            </w:pPr>
          </w:p>
        </w:tc>
        <w:tc>
          <w:tcPr>
            <w:tcW w:w="1020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57514" w14:textId="375B9F58" w:rsidR="00696889" w:rsidRDefault="00696889" w:rsidP="00E234EE">
            <w:pPr>
              <w:spacing w:before="120" w:after="120" w:line="240" w:lineRule="auto"/>
              <w:jc w:val="both"/>
              <w:rPr>
                <w:b/>
                <w:bCs/>
              </w:rPr>
            </w:pPr>
            <w:r w:rsidRPr="00E001CB">
              <w:rPr>
                <w:b/>
                <w:bCs/>
                <w:sz w:val="24"/>
                <w:szCs w:val="24"/>
              </w:rPr>
              <w:t>3. potenziamento e restyling di stazioni ferroviarie</w:t>
            </w:r>
            <w:r w:rsidRPr="00E234EE">
              <w:rPr>
                <w:b/>
                <w:bCs/>
                <w:sz w:val="24"/>
              </w:rPr>
              <w:t xml:space="preserve"> </w:t>
            </w:r>
            <w:r w:rsidRPr="00696889">
              <w:t xml:space="preserve">all’interno dei due crateri per potenziarne la funzione di nodo di scambio, per un costo totale di </w:t>
            </w:r>
            <w:r w:rsidR="00251430">
              <w:t>2</w:t>
            </w:r>
            <w:r w:rsidR="00251430" w:rsidRPr="00696889">
              <w:t xml:space="preserve">0 </w:t>
            </w:r>
            <w:r w:rsidRPr="00696889">
              <w:t>MLN</w:t>
            </w:r>
          </w:p>
        </w:tc>
        <w:tc>
          <w:tcPr>
            <w:tcW w:w="2273" w:type="dxa"/>
            <w:vMerge/>
            <w:tcBorders>
              <w:top w:val="single" w:sz="4" w:space="0" w:color="000000"/>
              <w:left w:val="single" w:sz="4" w:space="0" w:color="000000"/>
              <w:bottom w:val="single" w:sz="4" w:space="0" w:color="000000"/>
              <w:right w:val="single" w:sz="4" w:space="0" w:color="000000"/>
            </w:tcBorders>
            <w:shd w:val="clear" w:color="auto" w:fill="auto"/>
          </w:tcPr>
          <w:p w14:paraId="38F93ED5" w14:textId="77777777" w:rsidR="00696889" w:rsidRDefault="00696889" w:rsidP="00E234EE">
            <w:pPr>
              <w:spacing w:before="120" w:after="120"/>
            </w:pPr>
          </w:p>
        </w:tc>
        <w:tc>
          <w:tcPr>
            <w:tcW w:w="2452" w:type="dxa"/>
            <w:vMerge/>
            <w:tcBorders>
              <w:top w:val="single" w:sz="4" w:space="0" w:color="000000"/>
              <w:left w:val="single" w:sz="4" w:space="0" w:color="000000"/>
              <w:bottom w:val="single" w:sz="4" w:space="0" w:color="000000"/>
              <w:right w:val="single" w:sz="4" w:space="0" w:color="000000"/>
            </w:tcBorders>
            <w:shd w:val="clear" w:color="auto" w:fill="auto"/>
          </w:tcPr>
          <w:p w14:paraId="4CEC3E8E" w14:textId="77777777" w:rsidR="00696889" w:rsidRDefault="00696889" w:rsidP="00E234EE">
            <w:pPr>
              <w:spacing w:before="120" w:after="120"/>
            </w:pPr>
          </w:p>
        </w:tc>
      </w:tr>
      <w:tr w:rsidR="004E6E50" w14:paraId="2E35F0E7" w14:textId="77777777" w:rsidTr="00E234EE">
        <w:trPr>
          <w:trHeight w:val="2220"/>
        </w:trPr>
        <w:tc>
          <w:tcPr>
            <w:tcW w:w="2331" w:type="dxa"/>
            <w:vMerge/>
            <w:tcBorders>
              <w:top w:val="single" w:sz="4" w:space="0" w:color="000000"/>
              <w:left w:val="single" w:sz="4" w:space="0" w:color="000000"/>
              <w:bottom w:val="single" w:sz="4" w:space="0" w:color="000000"/>
              <w:right w:val="single" w:sz="4" w:space="0" w:color="000000"/>
            </w:tcBorders>
            <w:shd w:val="clear" w:color="auto" w:fill="D9E2F3"/>
          </w:tcPr>
          <w:p w14:paraId="32599315" w14:textId="77777777" w:rsidR="004E6E50" w:rsidRDefault="004E6E50" w:rsidP="00E234EE">
            <w:pPr>
              <w:spacing w:before="120" w:after="120"/>
            </w:pPr>
          </w:p>
        </w:tc>
        <w:tc>
          <w:tcPr>
            <w:tcW w:w="5103" w:type="dxa"/>
            <w:vMerge/>
            <w:tcBorders>
              <w:top w:val="single" w:sz="4" w:space="0" w:color="000000"/>
              <w:left w:val="single" w:sz="4" w:space="0" w:color="000000"/>
              <w:bottom w:val="single" w:sz="4" w:space="0" w:color="000000"/>
              <w:right w:val="single" w:sz="4" w:space="0" w:color="000000"/>
            </w:tcBorders>
            <w:shd w:val="clear" w:color="auto" w:fill="auto"/>
          </w:tcPr>
          <w:p w14:paraId="316C5BC1" w14:textId="77777777" w:rsidR="004E6E50" w:rsidRDefault="004E6E50" w:rsidP="00E234EE">
            <w:pPr>
              <w:spacing w:before="120" w:after="120"/>
            </w:pPr>
          </w:p>
        </w:tc>
        <w:tc>
          <w:tcPr>
            <w:tcW w:w="10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5F2B1" w14:textId="50FCD44D" w:rsidR="005D3F18" w:rsidRDefault="005D3F18" w:rsidP="00E234EE">
            <w:pPr>
              <w:spacing w:before="120" w:after="120" w:line="240" w:lineRule="auto"/>
              <w:jc w:val="both"/>
              <w:rPr>
                <w:rFonts w:ascii="Times New Roman" w:hAnsi="Times New Roman" w:cs="Times New Roman"/>
                <w:color w:val="auto"/>
                <w:sz w:val="24"/>
                <w:szCs w:val="24"/>
              </w:rPr>
            </w:pPr>
            <w:r w:rsidRPr="00E001CB">
              <w:rPr>
                <w:rFonts w:cs="Calibri"/>
                <w:b/>
                <w:bCs/>
                <w:color w:val="212121"/>
                <w:sz w:val="24"/>
                <w:szCs w:val="24"/>
              </w:rPr>
              <w:t>4. Investimenti sulla rete stradale</w:t>
            </w:r>
            <w:r w:rsidRPr="00E001CB">
              <w:rPr>
                <w:rFonts w:cs="Calibri"/>
                <w:color w:val="212121"/>
                <w:sz w:val="24"/>
                <w:szCs w:val="24"/>
                <w:shd w:val="clear" w:color="auto" w:fill="FFFFFF"/>
              </w:rPr>
              <w:t>.</w:t>
            </w:r>
            <w:r>
              <w:rPr>
                <w:rFonts w:cs="Calibri"/>
                <w:color w:val="212121"/>
                <w:shd w:val="clear" w:color="auto" w:fill="FFFFFF"/>
              </w:rPr>
              <w:t xml:space="preserve"> Interventi di adeguamento e messa in sicurezza della rete secondaria </w:t>
            </w:r>
            <w:r w:rsidR="00437076">
              <w:rPr>
                <w:rFonts w:cs="Calibri"/>
                <w:color w:val="212121"/>
                <w:shd w:val="clear" w:color="auto" w:fill="FFFFFF"/>
              </w:rPr>
              <w:t xml:space="preserve">e </w:t>
            </w:r>
            <w:r w:rsidR="005349A5">
              <w:rPr>
                <w:rFonts w:cs="Calibri"/>
                <w:color w:val="212121"/>
                <w:shd w:val="clear" w:color="auto" w:fill="FFFFFF"/>
              </w:rPr>
              <w:t xml:space="preserve">delle </w:t>
            </w:r>
            <w:r w:rsidR="00437076">
              <w:rPr>
                <w:rFonts w:cs="Calibri"/>
                <w:color w:val="212121"/>
                <w:shd w:val="clear" w:color="auto" w:fill="FFFFFF"/>
              </w:rPr>
              <w:t xml:space="preserve">strade comunali, </w:t>
            </w:r>
            <w:r>
              <w:rPr>
                <w:rFonts w:cs="Calibri"/>
                <w:color w:val="212121"/>
                <w:shd w:val="clear" w:color="auto" w:fill="FFFFFF"/>
              </w:rPr>
              <w:t>su una pluralità di criticità</w:t>
            </w:r>
            <w:r w:rsidR="009343AD">
              <w:rPr>
                <w:rFonts w:cs="Calibri"/>
                <w:color w:val="212121"/>
                <w:shd w:val="clear" w:color="auto" w:fill="FFFFFF"/>
              </w:rPr>
              <w:t>,</w:t>
            </w:r>
            <w:r>
              <w:rPr>
                <w:rFonts w:cs="Calibri"/>
                <w:color w:val="212121"/>
                <w:shd w:val="clear" w:color="auto" w:fill="FFFFFF"/>
              </w:rPr>
              <w:t xml:space="preserve"> per un costo di 60 MLN, e interventi di adeguamento e potenziamento di alcuni lotti della viabilità statale</w:t>
            </w:r>
            <w:r w:rsidR="007B6AFF">
              <w:rPr>
                <w:rFonts w:cs="Calibri"/>
                <w:color w:val="212121"/>
                <w:shd w:val="clear" w:color="auto" w:fill="FFFFFF"/>
              </w:rPr>
              <w:t xml:space="preserve"> individuati nel Contratto di Programma Anas per il</w:t>
            </w:r>
            <w:r>
              <w:rPr>
                <w:rFonts w:cs="Calibri"/>
                <w:color w:val="212121"/>
                <w:shd w:val="clear" w:color="auto" w:fill="FFFFFF"/>
              </w:rPr>
              <w:t xml:space="preserve"> finanziamento della progettazione complessiva e della realizzazione di primi stralci funzionali, subordinat</w:t>
            </w:r>
            <w:r w:rsidR="007B6AFF">
              <w:rPr>
                <w:rFonts w:cs="Calibri"/>
                <w:color w:val="212121"/>
                <w:shd w:val="clear" w:color="auto" w:fill="FFFFFF"/>
              </w:rPr>
              <w:t xml:space="preserve">amente </w:t>
            </w:r>
            <w:r>
              <w:rPr>
                <w:rFonts w:cs="Calibri"/>
                <w:color w:val="212121"/>
                <w:shd w:val="clear" w:color="auto" w:fill="FFFFFF"/>
              </w:rPr>
              <w:t xml:space="preserve">ad un accordo ex-art.15 L.241/90 con il MIMS, per un costo </w:t>
            </w:r>
            <w:r w:rsidRPr="00F8413E">
              <w:rPr>
                <w:rFonts w:cs="Calibri"/>
                <w:color w:val="212121"/>
                <w:shd w:val="clear" w:color="auto" w:fill="FFFFFF"/>
              </w:rPr>
              <w:t xml:space="preserve">di </w:t>
            </w:r>
            <w:r w:rsidR="0021306F" w:rsidRPr="009343AD">
              <w:rPr>
                <w:rFonts w:cs="Calibri"/>
                <w:bCs/>
                <w:color w:val="auto"/>
                <w:shd w:val="clear" w:color="auto" w:fill="FFFFFF"/>
              </w:rPr>
              <w:t>175</w:t>
            </w:r>
            <w:r w:rsidR="0021306F" w:rsidRPr="00F8413E">
              <w:rPr>
                <w:rFonts w:cs="Calibri"/>
                <w:b/>
                <w:color w:val="auto"/>
                <w:shd w:val="clear" w:color="auto" w:fill="FFFFFF"/>
              </w:rPr>
              <w:t xml:space="preserve"> </w:t>
            </w:r>
            <w:r>
              <w:rPr>
                <w:rFonts w:cs="Calibri"/>
                <w:color w:val="212121"/>
                <w:shd w:val="clear" w:color="auto" w:fill="FFFFFF"/>
              </w:rPr>
              <w:t>MLN.</w:t>
            </w:r>
            <w:r w:rsidR="009343AD">
              <w:rPr>
                <w:rFonts w:cs="Calibri"/>
                <w:color w:val="212121"/>
                <w:shd w:val="clear" w:color="auto" w:fill="FFFFFF"/>
              </w:rPr>
              <w:t xml:space="preserve"> Nel complesso, il sistema delle infrastrutture stradali ha un costo di </w:t>
            </w:r>
            <w:r w:rsidR="004D3AF2">
              <w:rPr>
                <w:rFonts w:cs="Calibri"/>
                <w:color w:val="212121"/>
                <w:shd w:val="clear" w:color="auto" w:fill="FFFFFF"/>
              </w:rPr>
              <w:t>235 MLN</w:t>
            </w:r>
          </w:p>
          <w:p w14:paraId="2508CDC3" w14:textId="010A7562" w:rsidR="004E6E50" w:rsidRPr="005D3F18" w:rsidRDefault="004E6E50" w:rsidP="00E234EE">
            <w:pPr>
              <w:spacing w:before="120" w:after="120" w:line="240" w:lineRule="auto"/>
              <w:jc w:val="both"/>
            </w:pPr>
          </w:p>
        </w:tc>
        <w:tc>
          <w:tcPr>
            <w:tcW w:w="2273" w:type="dxa"/>
            <w:vMerge/>
            <w:tcBorders>
              <w:top w:val="single" w:sz="4" w:space="0" w:color="000000"/>
              <w:left w:val="single" w:sz="4" w:space="0" w:color="000000"/>
              <w:bottom w:val="single" w:sz="4" w:space="0" w:color="000000"/>
              <w:right w:val="single" w:sz="4" w:space="0" w:color="000000"/>
            </w:tcBorders>
            <w:shd w:val="clear" w:color="auto" w:fill="auto"/>
          </w:tcPr>
          <w:p w14:paraId="5DCA72BA" w14:textId="77777777" w:rsidR="004E6E50" w:rsidRDefault="004E6E50" w:rsidP="00E234EE">
            <w:pPr>
              <w:spacing w:before="120" w:after="120"/>
            </w:pPr>
          </w:p>
        </w:tc>
        <w:tc>
          <w:tcPr>
            <w:tcW w:w="2452" w:type="dxa"/>
            <w:vMerge/>
            <w:tcBorders>
              <w:top w:val="single" w:sz="4" w:space="0" w:color="000000"/>
              <w:left w:val="single" w:sz="4" w:space="0" w:color="000000"/>
              <w:bottom w:val="single" w:sz="4" w:space="0" w:color="000000"/>
              <w:right w:val="single" w:sz="4" w:space="0" w:color="000000"/>
            </w:tcBorders>
            <w:shd w:val="clear" w:color="auto" w:fill="auto"/>
          </w:tcPr>
          <w:p w14:paraId="3AA02EF3" w14:textId="77777777" w:rsidR="004E6E50" w:rsidRDefault="004E6E50" w:rsidP="00E234EE">
            <w:pPr>
              <w:spacing w:before="120" w:after="120"/>
            </w:pPr>
          </w:p>
        </w:tc>
      </w:tr>
    </w:tbl>
    <w:p w14:paraId="6667927A" w14:textId="77777777" w:rsidR="004E6E50" w:rsidRDefault="004E6E50" w:rsidP="00E234EE">
      <w:pPr>
        <w:widowControl w:val="0"/>
        <w:spacing w:before="120" w:after="120" w:line="240" w:lineRule="auto"/>
        <w:ind w:left="108" w:hanging="108"/>
      </w:pPr>
    </w:p>
    <w:sectPr w:rsidR="004E6E50">
      <w:pgSz w:w="23820" w:h="168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019D" w14:textId="77777777" w:rsidR="00E97D5A" w:rsidRDefault="00E97D5A">
      <w:pPr>
        <w:spacing w:after="0" w:line="240" w:lineRule="auto"/>
      </w:pPr>
      <w:r>
        <w:separator/>
      </w:r>
    </w:p>
  </w:endnote>
  <w:endnote w:type="continuationSeparator" w:id="0">
    <w:p w14:paraId="724924E0" w14:textId="77777777" w:rsidR="00E97D5A" w:rsidRDefault="00E9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8C2D" w14:textId="77777777" w:rsidR="004E6E50" w:rsidRDefault="004E6E50">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1BD2E" w14:textId="77777777" w:rsidR="00E97D5A" w:rsidRDefault="00E97D5A">
      <w:pPr>
        <w:spacing w:after="0" w:line="240" w:lineRule="auto"/>
      </w:pPr>
      <w:r>
        <w:separator/>
      </w:r>
    </w:p>
  </w:footnote>
  <w:footnote w:type="continuationSeparator" w:id="0">
    <w:p w14:paraId="55A4F73E" w14:textId="77777777" w:rsidR="00E97D5A" w:rsidRDefault="00E97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9776" w14:textId="77777777" w:rsidR="004E6E50" w:rsidRDefault="004E6E50">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5E1D"/>
    <w:multiLevelType w:val="hybridMultilevel"/>
    <w:tmpl w:val="7152D9C6"/>
    <w:lvl w:ilvl="0" w:tplc="F920F1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D1157A"/>
    <w:multiLevelType w:val="hybridMultilevel"/>
    <w:tmpl w:val="EE76DD90"/>
    <w:lvl w:ilvl="0" w:tplc="5D060AAC">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5"/>
  <w:proofState w:spelling="clean" w:grammar="clean"/>
  <w:trackRevision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50"/>
    <w:rsid w:val="0001155F"/>
    <w:rsid w:val="0007638B"/>
    <w:rsid w:val="000776F4"/>
    <w:rsid w:val="000D2846"/>
    <w:rsid w:val="000F3365"/>
    <w:rsid w:val="00132ABF"/>
    <w:rsid w:val="00163993"/>
    <w:rsid w:val="0019545B"/>
    <w:rsid w:val="00201868"/>
    <w:rsid w:val="0021306F"/>
    <w:rsid w:val="00225E38"/>
    <w:rsid w:val="00251430"/>
    <w:rsid w:val="003402C2"/>
    <w:rsid w:val="0034411F"/>
    <w:rsid w:val="003E26DF"/>
    <w:rsid w:val="00437076"/>
    <w:rsid w:val="00456975"/>
    <w:rsid w:val="004D3AF2"/>
    <w:rsid w:val="004E6E50"/>
    <w:rsid w:val="005349A5"/>
    <w:rsid w:val="005D3F18"/>
    <w:rsid w:val="0063730E"/>
    <w:rsid w:val="006579E4"/>
    <w:rsid w:val="00696889"/>
    <w:rsid w:val="007273BC"/>
    <w:rsid w:val="0077513A"/>
    <w:rsid w:val="007B6AFF"/>
    <w:rsid w:val="007E2F37"/>
    <w:rsid w:val="007E3021"/>
    <w:rsid w:val="008A3A6F"/>
    <w:rsid w:val="008E6F9B"/>
    <w:rsid w:val="008F0C5B"/>
    <w:rsid w:val="009343AD"/>
    <w:rsid w:val="00945607"/>
    <w:rsid w:val="00984EE0"/>
    <w:rsid w:val="00996040"/>
    <w:rsid w:val="009B4B89"/>
    <w:rsid w:val="00AA4577"/>
    <w:rsid w:val="00B05403"/>
    <w:rsid w:val="00B24424"/>
    <w:rsid w:val="00B261EB"/>
    <w:rsid w:val="00BC1BCC"/>
    <w:rsid w:val="00C072D0"/>
    <w:rsid w:val="00C63E05"/>
    <w:rsid w:val="00CD3CC9"/>
    <w:rsid w:val="00CE4BD9"/>
    <w:rsid w:val="00D23C90"/>
    <w:rsid w:val="00D873D6"/>
    <w:rsid w:val="00DC5D54"/>
    <w:rsid w:val="00DF543E"/>
    <w:rsid w:val="00E001CB"/>
    <w:rsid w:val="00E15557"/>
    <w:rsid w:val="00E234EE"/>
    <w:rsid w:val="00E713D0"/>
    <w:rsid w:val="00E770C1"/>
    <w:rsid w:val="00E83F61"/>
    <w:rsid w:val="00E97D5A"/>
    <w:rsid w:val="00EB7CFC"/>
    <w:rsid w:val="00F841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9B49"/>
  <w15:docId w15:val="{AA7243A3-945E-4543-82AA-8D67CF76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
    <w:name w:val="Corpo"/>
    <w:rPr>
      <w:rFonts w:ascii="Helvetica" w:hAnsi="Helvetica" w:cs="Arial Unicode MS"/>
      <w:color w:val="000000"/>
      <w:sz w:val="22"/>
      <w:szCs w:val="22"/>
    </w:rPr>
  </w:style>
  <w:style w:type="paragraph" w:styleId="Paragrafoelenco">
    <w:name w:val="List Paragraph"/>
    <w:basedOn w:val="Normale"/>
    <w:uiPriority w:val="34"/>
    <w:qFormat/>
    <w:rsid w:val="00E234EE"/>
    <w:pPr>
      <w:ind w:left="720"/>
      <w:contextualSpacing/>
    </w:pPr>
  </w:style>
  <w:style w:type="character" w:customStyle="1" w:styleId="apple-converted-space">
    <w:name w:val="apple-converted-space"/>
    <w:basedOn w:val="Carpredefinitoparagrafo"/>
    <w:rsid w:val="008A3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86194">
      <w:bodyDiv w:val="1"/>
      <w:marLeft w:val="0"/>
      <w:marRight w:val="0"/>
      <w:marTop w:val="0"/>
      <w:marBottom w:val="0"/>
      <w:divBdr>
        <w:top w:val="none" w:sz="0" w:space="0" w:color="auto"/>
        <w:left w:val="none" w:sz="0" w:space="0" w:color="auto"/>
        <w:bottom w:val="none" w:sz="0" w:space="0" w:color="auto"/>
        <w:right w:val="none" w:sz="0" w:space="0" w:color="auto"/>
      </w:divBdr>
      <w:divsChild>
        <w:div w:id="1978602049">
          <w:marLeft w:val="0"/>
          <w:marRight w:val="0"/>
          <w:marTop w:val="0"/>
          <w:marBottom w:val="0"/>
          <w:divBdr>
            <w:top w:val="none" w:sz="0" w:space="0" w:color="auto"/>
            <w:left w:val="none" w:sz="0" w:space="0" w:color="auto"/>
            <w:bottom w:val="none" w:sz="0" w:space="0" w:color="auto"/>
            <w:right w:val="none" w:sz="0" w:space="0" w:color="auto"/>
          </w:divBdr>
        </w:div>
        <w:div w:id="1283347640">
          <w:marLeft w:val="0"/>
          <w:marRight w:val="0"/>
          <w:marTop w:val="0"/>
          <w:marBottom w:val="0"/>
          <w:divBdr>
            <w:top w:val="none" w:sz="0" w:space="0" w:color="auto"/>
            <w:left w:val="none" w:sz="0" w:space="0" w:color="auto"/>
            <w:bottom w:val="none" w:sz="0" w:space="0" w:color="auto"/>
            <w:right w:val="none" w:sz="0" w:space="0" w:color="auto"/>
          </w:divBdr>
        </w:div>
        <w:div w:id="944921111">
          <w:marLeft w:val="0"/>
          <w:marRight w:val="0"/>
          <w:marTop w:val="0"/>
          <w:marBottom w:val="0"/>
          <w:divBdr>
            <w:top w:val="none" w:sz="0" w:space="0" w:color="auto"/>
            <w:left w:val="none" w:sz="0" w:space="0" w:color="auto"/>
            <w:bottom w:val="none" w:sz="0" w:space="0" w:color="auto"/>
            <w:right w:val="none" w:sz="0" w:space="0" w:color="auto"/>
          </w:divBdr>
        </w:div>
        <w:div w:id="1246913376">
          <w:marLeft w:val="0"/>
          <w:marRight w:val="0"/>
          <w:marTop w:val="0"/>
          <w:marBottom w:val="0"/>
          <w:divBdr>
            <w:top w:val="none" w:sz="0" w:space="0" w:color="auto"/>
            <w:left w:val="none" w:sz="0" w:space="0" w:color="auto"/>
            <w:bottom w:val="none" w:sz="0" w:space="0" w:color="auto"/>
            <w:right w:val="none" w:sz="0" w:space="0" w:color="auto"/>
          </w:divBdr>
        </w:div>
        <w:div w:id="1896114317">
          <w:marLeft w:val="0"/>
          <w:marRight w:val="0"/>
          <w:marTop w:val="0"/>
          <w:marBottom w:val="0"/>
          <w:divBdr>
            <w:top w:val="none" w:sz="0" w:space="0" w:color="auto"/>
            <w:left w:val="none" w:sz="0" w:space="0" w:color="auto"/>
            <w:bottom w:val="none" w:sz="0" w:space="0" w:color="auto"/>
            <w:right w:val="none" w:sz="0" w:space="0" w:color="auto"/>
          </w:divBdr>
        </w:div>
        <w:div w:id="282420419">
          <w:marLeft w:val="0"/>
          <w:marRight w:val="0"/>
          <w:marTop w:val="0"/>
          <w:marBottom w:val="0"/>
          <w:divBdr>
            <w:top w:val="none" w:sz="0" w:space="0" w:color="auto"/>
            <w:left w:val="none" w:sz="0" w:space="0" w:color="auto"/>
            <w:bottom w:val="none" w:sz="0" w:space="0" w:color="auto"/>
            <w:right w:val="none" w:sz="0" w:space="0" w:color="auto"/>
          </w:divBdr>
        </w:div>
      </w:divsChild>
    </w:div>
    <w:div w:id="1244486407">
      <w:bodyDiv w:val="1"/>
      <w:marLeft w:val="0"/>
      <w:marRight w:val="0"/>
      <w:marTop w:val="0"/>
      <w:marBottom w:val="0"/>
      <w:divBdr>
        <w:top w:val="none" w:sz="0" w:space="0" w:color="auto"/>
        <w:left w:val="none" w:sz="0" w:space="0" w:color="auto"/>
        <w:bottom w:val="none" w:sz="0" w:space="0" w:color="auto"/>
        <w:right w:val="none" w:sz="0" w:space="0" w:color="auto"/>
      </w:divBdr>
    </w:div>
    <w:div w:id="1270238930">
      <w:bodyDiv w:val="1"/>
      <w:marLeft w:val="0"/>
      <w:marRight w:val="0"/>
      <w:marTop w:val="0"/>
      <w:marBottom w:val="0"/>
      <w:divBdr>
        <w:top w:val="none" w:sz="0" w:space="0" w:color="auto"/>
        <w:left w:val="none" w:sz="0" w:space="0" w:color="auto"/>
        <w:bottom w:val="none" w:sz="0" w:space="0" w:color="auto"/>
        <w:right w:val="none" w:sz="0" w:space="0" w:color="auto"/>
      </w:divBdr>
      <w:divsChild>
        <w:div w:id="1953393396">
          <w:marLeft w:val="0"/>
          <w:marRight w:val="0"/>
          <w:marTop w:val="0"/>
          <w:marBottom w:val="0"/>
          <w:divBdr>
            <w:top w:val="none" w:sz="0" w:space="0" w:color="auto"/>
            <w:left w:val="none" w:sz="0" w:space="0" w:color="auto"/>
            <w:bottom w:val="none" w:sz="0" w:space="0" w:color="auto"/>
            <w:right w:val="none" w:sz="0" w:space="0" w:color="auto"/>
          </w:divBdr>
        </w:div>
        <w:div w:id="1019625424">
          <w:marLeft w:val="0"/>
          <w:marRight w:val="0"/>
          <w:marTop w:val="0"/>
          <w:marBottom w:val="0"/>
          <w:divBdr>
            <w:top w:val="none" w:sz="0" w:space="0" w:color="auto"/>
            <w:left w:val="none" w:sz="0" w:space="0" w:color="auto"/>
            <w:bottom w:val="none" w:sz="0" w:space="0" w:color="auto"/>
            <w:right w:val="none" w:sz="0" w:space="0" w:color="auto"/>
          </w:divBdr>
        </w:div>
        <w:div w:id="716248534">
          <w:marLeft w:val="0"/>
          <w:marRight w:val="0"/>
          <w:marTop w:val="0"/>
          <w:marBottom w:val="0"/>
          <w:divBdr>
            <w:top w:val="none" w:sz="0" w:space="0" w:color="auto"/>
            <w:left w:val="none" w:sz="0" w:space="0" w:color="auto"/>
            <w:bottom w:val="none" w:sz="0" w:space="0" w:color="auto"/>
            <w:right w:val="none" w:sz="0" w:space="0" w:color="auto"/>
          </w:divBdr>
        </w:div>
        <w:div w:id="1042443115">
          <w:marLeft w:val="0"/>
          <w:marRight w:val="0"/>
          <w:marTop w:val="0"/>
          <w:marBottom w:val="0"/>
          <w:divBdr>
            <w:top w:val="none" w:sz="0" w:space="0" w:color="auto"/>
            <w:left w:val="none" w:sz="0" w:space="0" w:color="auto"/>
            <w:bottom w:val="none" w:sz="0" w:space="0" w:color="auto"/>
            <w:right w:val="none" w:sz="0" w:space="0" w:color="auto"/>
          </w:divBdr>
        </w:div>
        <w:div w:id="211700751">
          <w:marLeft w:val="0"/>
          <w:marRight w:val="0"/>
          <w:marTop w:val="0"/>
          <w:marBottom w:val="0"/>
          <w:divBdr>
            <w:top w:val="none" w:sz="0" w:space="0" w:color="auto"/>
            <w:left w:val="none" w:sz="0" w:space="0" w:color="auto"/>
            <w:bottom w:val="none" w:sz="0" w:space="0" w:color="auto"/>
            <w:right w:val="none" w:sz="0" w:space="0" w:color="auto"/>
          </w:divBdr>
        </w:div>
        <w:div w:id="20112472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2908</Words>
  <Characters>16577</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Imme'</dc:creator>
  <cp:lastModifiedBy>Daniela Aiuto</cp:lastModifiedBy>
  <cp:revision>5</cp:revision>
  <dcterms:created xsi:type="dcterms:W3CDTF">2021-09-30T11:56:00Z</dcterms:created>
  <dcterms:modified xsi:type="dcterms:W3CDTF">2021-09-30T12:29:00Z</dcterms:modified>
</cp:coreProperties>
</file>