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DD86" w14:textId="77777777" w:rsidR="00AC11ED" w:rsidRDefault="00AC11ED" w:rsidP="00F71564">
      <w:pPr>
        <w:ind w:left="284" w:right="282"/>
      </w:pPr>
    </w:p>
    <w:p w14:paraId="59D149E6" w14:textId="498BBC7D" w:rsidR="0026282B" w:rsidRDefault="00D15274" w:rsidP="00F71564">
      <w:pPr>
        <w:ind w:left="284" w:right="282"/>
      </w:pPr>
      <w:r>
        <w:t xml:space="preserve">                                    </w:t>
      </w:r>
    </w:p>
    <w:p w14:paraId="52BCFF96" w14:textId="1EF62EFA" w:rsidR="00AC11ED" w:rsidRPr="00E00FDB" w:rsidRDefault="00AC11ED" w:rsidP="00E508E0">
      <w:pPr>
        <w:spacing w:line="360" w:lineRule="auto"/>
        <w:ind w:left="284" w:right="282"/>
        <w:jc w:val="both"/>
        <w:rPr>
          <w:rFonts w:ascii="Garamond" w:hAnsi="Garamond"/>
          <w:b/>
          <w:bCs/>
          <w:sz w:val="28"/>
          <w:szCs w:val="28"/>
        </w:rPr>
      </w:pPr>
      <w:r w:rsidRPr="00E00FDB">
        <w:rPr>
          <w:rFonts w:ascii="Garamond" w:hAnsi="Garamond"/>
          <w:b/>
          <w:bCs/>
          <w:sz w:val="28"/>
          <w:szCs w:val="28"/>
        </w:rPr>
        <w:t xml:space="preserve">Oggetto: Comune di </w:t>
      </w:r>
      <w:r w:rsidR="00A11F31">
        <w:rPr>
          <w:rFonts w:ascii="Garamond" w:hAnsi="Garamond"/>
          <w:b/>
          <w:bCs/>
          <w:sz w:val="28"/>
          <w:szCs w:val="28"/>
        </w:rPr>
        <w:t>XXX</w:t>
      </w:r>
      <w:r w:rsidRPr="00E00FDB">
        <w:rPr>
          <w:rFonts w:ascii="Garamond" w:hAnsi="Garamond"/>
          <w:b/>
          <w:bCs/>
          <w:sz w:val="28"/>
          <w:szCs w:val="28"/>
        </w:rPr>
        <w:t xml:space="preserve"> – Riscontro a nota prot. n. 9478 del 31.07.2020 </w:t>
      </w:r>
      <w:r w:rsidR="00E00FDB">
        <w:rPr>
          <w:rFonts w:ascii="Garamond" w:hAnsi="Garamond"/>
          <w:b/>
          <w:bCs/>
          <w:sz w:val="28"/>
          <w:szCs w:val="28"/>
        </w:rPr>
        <w:t>-</w:t>
      </w:r>
      <w:r w:rsidRPr="00E00FDB">
        <w:rPr>
          <w:rFonts w:ascii="Garamond" w:hAnsi="Garamond"/>
          <w:b/>
          <w:bCs/>
          <w:sz w:val="28"/>
          <w:szCs w:val="28"/>
        </w:rPr>
        <w:t xml:space="preserve"> Contributo di autonoma sistemazione </w:t>
      </w:r>
      <w:r w:rsidR="00E00FDB">
        <w:rPr>
          <w:rFonts w:ascii="Garamond" w:hAnsi="Garamond"/>
          <w:b/>
          <w:bCs/>
          <w:sz w:val="28"/>
          <w:szCs w:val="28"/>
        </w:rPr>
        <w:t>-</w:t>
      </w:r>
      <w:r w:rsidRPr="00E00FDB">
        <w:rPr>
          <w:rFonts w:ascii="Garamond" w:hAnsi="Garamond"/>
          <w:b/>
          <w:bCs/>
          <w:sz w:val="28"/>
          <w:szCs w:val="28"/>
        </w:rPr>
        <w:t xml:space="preserve"> Patrocinio erariale e rimborso delle spese di giustizia.</w:t>
      </w:r>
    </w:p>
    <w:p w14:paraId="776E7D17" w14:textId="10CAE4ED" w:rsidR="00E508E0" w:rsidRDefault="00A31F70" w:rsidP="00E508E0">
      <w:pPr>
        <w:spacing w:line="360" w:lineRule="auto"/>
        <w:ind w:left="284" w:right="282"/>
        <w:jc w:val="both"/>
        <w:rPr>
          <w:rFonts w:ascii="Garamond" w:hAnsi="Garamond"/>
          <w:sz w:val="28"/>
          <w:szCs w:val="28"/>
        </w:rPr>
      </w:pPr>
      <w:r>
        <w:rPr>
          <w:rFonts w:ascii="Garamond" w:hAnsi="Garamond"/>
          <w:sz w:val="28"/>
          <w:szCs w:val="28"/>
        </w:rPr>
        <w:t>Con nota prot. n. 9478 del 31.07.2020, codest</w:t>
      </w:r>
      <w:r w:rsidR="00E508E0">
        <w:rPr>
          <w:rFonts w:ascii="Garamond" w:hAnsi="Garamond"/>
          <w:sz w:val="28"/>
          <w:szCs w:val="28"/>
        </w:rPr>
        <w:t>a</w:t>
      </w:r>
      <w:r>
        <w:rPr>
          <w:rFonts w:ascii="Garamond" w:hAnsi="Garamond"/>
          <w:sz w:val="28"/>
          <w:szCs w:val="28"/>
        </w:rPr>
        <w:t xml:space="preserve"> </w:t>
      </w:r>
      <w:r w:rsidR="00E508E0">
        <w:rPr>
          <w:rFonts w:ascii="Garamond" w:hAnsi="Garamond"/>
          <w:sz w:val="28"/>
          <w:szCs w:val="28"/>
        </w:rPr>
        <w:t>Amministrazione comunale</w:t>
      </w:r>
      <w:r>
        <w:rPr>
          <w:rFonts w:ascii="Garamond" w:hAnsi="Garamond"/>
          <w:sz w:val="28"/>
          <w:szCs w:val="28"/>
        </w:rPr>
        <w:t xml:space="preserve"> ha rappresentato alla Scrivente di essere stata coinvolta in </w:t>
      </w:r>
      <w:r w:rsidR="00E508E0">
        <w:rPr>
          <w:rFonts w:ascii="Garamond" w:hAnsi="Garamond"/>
          <w:sz w:val="28"/>
          <w:szCs w:val="28"/>
        </w:rPr>
        <w:t>taluni</w:t>
      </w:r>
      <w:r>
        <w:rPr>
          <w:rFonts w:ascii="Garamond" w:hAnsi="Garamond"/>
          <w:sz w:val="28"/>
          <w:szCs w:val="28"/>
        </w:rPr>
        <w:t xml:space="preserve"> contenziosi riguard</w:t>
      </w:r>
      <w:r w:rsidR="00E508E0">
        <w:rPr>
          <w:rFonts w:ascii="Garamond" w:hAnsi="Garamond"/>
          <w:sz w:val="28"/>
          <w:szCs w:val="28"/>
        </w:rPr>
        <w:t xml:space="preserve">anti l’erogazione dei contributi di autonoma sistemazione di cui alle ordinanze del </w:t>
      </w:r>
      <w:r w:rsidR="00245052">
        <w:rPr>
          <w:rFonts w:ascii="Garamond" w:hAnsi="Garamond"/>
          <w:sz w:val="28"/>
          <w:szCs w:val="28"/>
        </w:rPr>
        <w:t>C</w:t>
      </w:r>
      <w:r w:rsidR="00E508E0">
        <w:rPr>
          <w:rFonts w:ascii="Garamond" w:hAnsi="Garamond"/>
          <w:sz w:val="28"/>
          <w:szCs w:val="28"/>
        </w:rPr>
        <w:t xml:space="preserve">apo </w:t>
      </w:r>
      <w:r w:rsidR="00245052">
        <w:rPr>
          <w:rFonts w:ascii="Garamond" w:hAnsi="Garamond"/>
          <w:sz w:val="28"/>
          <w:szCs w:val="28"/>
        </w:rPr>
        <w:t>D</w:t>
      </w:r>
      <w:r w:rsidR="00E508E0">
        <w:rPr>
          <w:rFonts w:ascii="Garamond" w:hAnsi="Garamond"/>
          <w:sz w:val="28"/>
          <w:szCs w:val="28"/>
        </w:rPr>
        <w:t xml:space="preserve">ipartimento della Protezione Civile </w:t>
      </w:r>
      <w:proofErr w:type="spellStart"/>
      <w:r w:rsidR="00E508E0">
        <w:rPr>
          <w:rFonts w:ascii="Garamond" w:hAnsi="Garamond"/>
          <w:sz w:val="28"/>
          <w:szCs w:val="28"/>
        </w:rPr>
        <w:t>nn</w:t>
      </w:r>
      <w:proofErr w:type="spellEnd"/>
      <w:r w:rsidR="00E508E0">
        <w:rPr>
          <w:rFonts w:ascii="Garamond" w:hAnsi="Garamond"/>
          <w:sz w:val="28"/>
          <w:szCs w:val="28"/>
        </w:rPr>
        <w:t>. 388/2016, 408/2016 e 614/2019.</w:t>
      </w:r>
    </w:p>
    <w:p w14:paraId="73C70857" w14:textId="4707A0C4" w:rsidR="00B74612" w:rsidRDefault="00E508E0" w:rsidP="00E508E0">
      <w:pPr>
        <w:spacing w:line="360" w:lineRule="auto"/>
        <w:ind w:left="284" w:right="282"/>
        <w:jc w:val="both"/>
        <w:rPr>
          <w:rFonts w:ascii="Garamond" w:hAnsi="Garamond"/>
          <w:sz w:val="28"/>
          <w:szCs w:val="28"/>
        </w:rPr>
      </w:pPr>
      <w:r>
        <w:rPr>
          <w:rFonts w:ascii="Garamond" w:hAnsi="Garamond"/>
          <w:sz w:val="28"/>
          <w:szCs w:val="28"/>
        </w:rPr>
        <w:t>Viene riferito</w:t>
      </w:r>
      <w:r w:rsidR="00A84B85">
        <w:rPr>
          <w:rFonts w:ascii="Garamond" w:hAnsi="Garamond"/>
          <w:sz w:val="28"/>
          <w:szCs w:val="28"/>
        </w:rPr>
        <w:t>,</w:t>
      </w:r>
      <w:r>
        <w:rPr>
          <w:rFonts w:ascii="Garamond" w:hAnsi="Garamond"/>
          <w:sz w:val="28"/>
          <w:szCs w:val="28"/>
        </w:rPr>
        <w:t xml:space="preserve"> in particolare</w:t>
      </w:r>
      <w:r w:rsidR="00A84B85">
        <w:rPr>
          <w:rFonts w:ascii="Garamond" w:hAnsi="Garamond"/>
          <w:sz w:val="28"/>
          <w:szCs w:val="28"/>
        </w:rPr>
        <w:t>,</w:t>
      </w:r>
      <w:r>
        <w:rPr>
          <w:rFonts w:ascii="Garamond" w:hAnsi="Garamond"/>
          <w:sz w:val="28"/>
          <w:szCs w:val="28"/>
        </w:rPr>
        <w:t xml:space="preserve"> che </w:t>
      </w:r>
      <w:r w:rsidRPr="00E508E0">
        <w:rPr>
          <w:rFonts w:ascii="Garamond" w:hAnsi="Garamond"/>
          <w:i/>
          <w:iCs/>
          <w:sz w:val="28"/>
          <w:szCs w:val="28"/>
        </w:rPr>
        <w:t xml:space="preserve">in </w:t>
      </w:r>
      <w:proofErr w:type="spellStart"/>
      <w:r w:rsidRPr="00E508E0">
        <w:rPr>
          <w:rFonts w:ascii="Garamond" w:hAnsi="Garamond"/>
          <w:i/>
          <w:iCs/>
          <w:sz w:val="28"/>
          <w:szCs w:val="28"/>
        </w:rPr>
        <w:t>sub</w:t>
      </w:r>
      <w:r w:rsidR="00A84B85">
        <w:rPr>
          <w:rFonts w:ascii="Garamond" w:hAnsi="Garamond"/>
          <w:i/>
          <w:iCs/>
          <w:sz w:val="28"/>
          <w:szCs w:val="28"/>
        </w:rPr>
        <w:t>i</w:t>
      </w:r>
      <w:r w:rsidRPr="00E508E0">
        <w:rPr>
          <w:rFonts w:ascii="Garamond" w:hAnsi="Garamond"/>
          <w:i/>
          <w:iCs/>
          <w:sz w:val="28"/>
          <w:szCs w:val="28"/>
        </w:rPr>
        <w:t>ecta</w:t>
      </w:r>
      <w:proofErr w:type="spellEnd"/>
      <w:r w:rsidRPr="00E508E0">
        <w:rPr>
          <w:rFonts w:ascii="Garamond" w:hAnsi="Garamond"/>
          <w:i/>
          <w:iCs/>
          <w:sz w:val="28"/>
          <w:szCs w:val="28"/>
        </w:rPr>
        <w:t xml:space="preserve"> materia</w:t>
      </w:r>
      <w:r>
        <w:rPr>
          <w:rFonts w:ascii="Garamond" w:hAnsi="Garamond"/>
          <w:sz w:val="28"/>
          <w:szCs w:val="28"/>
        </w:rPr>
        <w:t xml:space="preserve"> il </w:t>
      </w:r>
      <w:r w:rsidR="00A84B85">
        <w:rPr>
          <w:rFonts w:ascii="Garamond" w:hAnsi="Garamond"/>
          <w:sz w:val="28"/>
          <w:szCs w:val="28"/>
        </w:rPr>
        <w:t>C</w:t>
      </w:r>
      <w:r>
        <w:rPr>
          <w:rFonts w:ascii="Garamond" w:hAnsi="Garamond"/>
          <w:sz w:val="28"/>
          <w:szCs w:val="28"/>
        </w:rPr>
        <w:t xml:space="preserve">omune ha competenza limitata alla cura dell’istruttoria e alla gestione delle attività dirette alla concessione del contributo. </w:t>
      </w:r>
    </w:p>
    <w:p w14:paraId="4310393D" w14:textId="0E11183D" w:rsidR="00E508E0" w:rsidRDefault="00E508E0" w:rsidP="00E508E0">
      <w:pPr>
        <w:spacing w:line="360" w:lineRule="auto"/>
        <w:ind w:left="284" w:right="282"/>
        <w:jc w:val="both"/>
        <w:rPr>
          <w:rFonts w:ascii="Garamond" w:hAnsi="Garamond"/>
          <w:sz w:val="28"/>
          <w:szCs w:val="28"/>
        </w:rPr>
      </w:pPr>
      <w:r>
        <w:rPr>
          <w:rFonts w:ascii="Garamond" w:hAnsi="Garamond"/>
          <w:sz w:val="28"/>
          <w:szCs w:val="28"/>
        </w:rPr>
        <w:t xml:space="preserve">Codesta Amministrazione, pertanto, affermando di agire nell’interesse di altri Enti, </w:t>
      </w:r>
      <w:r w:rsidR="00A84B85">
        <w:rPr>
          <w:rFonts w:ascii="Garamond" w:hAnsi="Garamond"/>
          <w:sz w:val="28"/>
          <w:szCs w:val="28"/>
        </w:rPr>
        <w:t>domanda</w:t>
      </w:r>
      <w:r>
        <w:rPr>
          <w:rFonts w:ascii="Garamond" w:hAnsi="Garamond"/>
          <w:sz w:val="28"/>
          <w:szCs w:val="28"/>
        </w:rPr>
        <w:t xml:space="preserve"> alle amministrazioni in indirizzo di indicare le modalità per accedere al patrocinio dell’Avvocatura dello Stato, </w:t>
      </w:r>
      <w:r w:rsidR="00B74612">
        <w:rPr>
          <w:rFonts w:ascii="Garamond" w:hAnsi="Garamond"/>
          <w:sz w:val="28"/>
          <w:szCs w:val="28"/>
        </w:rPr>
        <w:t>chiedendo</w:t>
      </w:r>
      <w:r>
        <w:rPr>
          <w:rFonts w:ascii="Garamond" w:hAnsi="Garamond"/>
          <w:sz w:val="28"/>
          <w:szCs w:val="28"/>
        </w:rPr>
        <w:t xml:space="preserve"> </w:t>
      </w:r>
      <w:r w:rsidR="00B74612">
        <w:rPr>
          <w:rFonts w:ascii="Garamond" w:hAnsi="Garamond"/>
          <w:sz w:val="28"/>
          <w:szCs w:val="28"/>
        </w:rPr>
        <w:t>altresì</w:t>
      </w:r>
      <w:r>
        <w:rPr>
          <w:rFonts w:ascii="Garamond" w:hAnsi="Garamond"/>
          <w:sz w:val="28"/>
          <w:szCs w:val="28"/>
        </w:rPr>
        <w:t xml:space="preserve"> di ottenere il rimborso delle spese legali sostenute o da sostenere con riguardo ai giudizi già in corso.</w:t>
      </w:r>
    </w:p>
    <w:p w14:paraId="699574D9" w14:textId="5F5D34E6" w:rsidR="00B74612" w:rsidRDefault="00B74612" w:rsidP="00E508E0">
      <w:pPr>
        <w:spacing w:line="360" w:lineRule="auto"/>
        <w:ind w:left="284" w:right="282"/>
        <w:jc w:val="both"/>
        <w:rPr>
          <w:rFonts w:ascii="Garamond" w:hAnsi="Garamond"/>
          <w:sz w:val="28"/>
          <w:szCs w:val="28"/>
        </w:rPr>
      </w:pPr>
      <w:r>
        <w:rPr>
          <w:rFonts w:ascii="Garamond" w:hAnsi="Garamond"/>
          <w:sz w:val="28"/>
          <w:szCs w:val="28"/>
        </w:rPr>
        <w:t>In merito</w:t>
      </w:r>
      <w:r w:rsidR="00D33A5D">
        <w:rPr>
          <w:rFonts w:ascii="Garamond" w:hAnsi="Garamond"/>
          <w:sz w:val="28"/>
          <w:szCs w:val="28"/>
        </w:rPr>
        <w:t xml:space="preserve"> alla prima delle suddette questioni, giova evidenziare che il patrocinio dell’Avvocatura dello Stato è regolato principalmente dal R.D. n. 1611/1933</w:t>
      </w:r>
      <w:r w:rsidR="0084134F">
        <w:rPr>
          <w:rFonts w:ascii="Garamond" w:hAnsi="Garamond"/>
          <w:sz w:val="28"/>
          <w:szCs w:val="28"/>
        </w:rPr>
        <w:t xml:space="preserve"> nonché dalla legge n. 103/1979. </w:t>
      </w:r>
    </w:p>
    <w:p w14:paraId="26EC5676" w14:textId="5B8ADA19" w:rsidR="00E508E0" w:rsidRDefault="0084134F" w:rsidP="00E508E0">
      <w:pPr>
        <w:spacing w:line="360" w:lineRule="auto"/>
        <w:ind w:left="284" w:right="282"/>
        <w:jc w:val="both"/>
        <w:rPr>
          <w:rFonts w:ascii="Garamond" w:hAnsi="Garamond"/>
          <w:sz w:val="28"/>
          <w:szCs w:val="28"/>
        </w:rPr>
      </w:pPr>
      <w:r>
        <w:rPr>
          <w:rFonts w:ascii="Garamond" w:hAnsi="Garamond"/>
          <w:sz w:val="28"/>
          <w:szCs w:val="28"/>
        </w:rPr>
        <w:t xml:space="preserve">Le citate fonti </w:t>
      </w:r>
      <w:r w:rsidR="00AB09EA">
        <w:rPr>
          <w:rFonts w:ascii="Garamond" w:hAnsi="Garamond"/>
          <w:sz w:val="28"/>
          <w:szCs w:val="28"/>
        </w:rPr>
        <w:t xml:space="preserve">normative </w:t>
      </w:r>
      <w:r>
        <w:rPr>
          <w:rFonts w:ascii="Garamond" w:hAnsi="Garamond"/>
          <w:sz w:val="28"/>
          <w:szCs w:val="28"/>
        </w:rPr>
        <w:t>evidenziano come l’Avvocatura erariale sia chiamata a</w:t>
      </w:r>
      <w:r w:rsidR="00B74612">
        <w:rPr>
          <w:rFonts w:ascii="Garamond" w:hAnsi="Garamond"/>
          <w:sz w:val="28"/>
          <w:szCs w:val="28"/>
        </w:rPr>
        <w:t xml:space="preserve"> svolgere</w:t>
      </w:r>
      <w:r>
        <w:rPr>
          <w:rFonts w:ascii="Garamond" w:hAnsi="Garamond"/>
          <w:sz w:val="28"/>
          <w:szCs w:val="28"/>
        </w:rPr>
        <w:t xml:space="preserve"> un’attività di patrocinio</w:t>
      </w:r>
      <w:r w:rsidR="00B74612">
        <w:rPr>
          <w:rFonts w:ascii="Garamond" w:hAnsi="Garamond"/>
          <w:sz w:val="28"/>
          <w:szCs w:val="28"/>
        </w:rPr>
        <w:t xml:space="preserve"> </w:t>
      </w:r>
      <w:r w:rsidR="00AA1A2C">
        <w:rPr>
          <w:rFonts w:ascii="Garamond" w:hAnsi="Garamond"/>
          <w:sz w:val="28"/>
          <w:szCs w:val="28"/>
        </w:rPr>
        <w:t>definito</w:t>
      </w:r>
      <w:r>
        <w:rPr>
          <w:rFonts w:ascii="Garamond" w:hAnsi="Garamond"/>
          <w:sz w:val="28"/>
          <w:szCs w:val="28"/>
        </w:rPr>
        <w:t xml:space="preserve"> </w:t>
      </w:r>
      <w:r w:rsidR="00AA1A2C">
        <w:rPr>
          <w:rFonts w:ascii="Garamond" w:hAnsi="Garamond"/>
          <w:sz w:val="28"/>
          <w:szCs w:val="28"/>
        </w:rPr>
        <w:t>“</w:t>
      </w:r>
      <w:r>
        <w:rPr>
          <w:rFonts w:ascii="Garamond" w:hAnsi="Garamond"/>
          <w:sz w:val="28"/>
          <w:szCs w:val="28"/>
        </w:rPr>
        <w:t>obbligatorio</w:t>
      </w:r>
      <w:r w:rsidR="00AA1A2C">
        <w:rPr>
          <w:rFonts w:ascii="Garamond" w:hAnsi="Garamond"/>
          <w:sz w:val="28"/>
          <w:szCs w:val="28"/>
        </w:rPr>
        <w:t>”</w:t>
      </w:r>
      <w:r>
        <w:rPr>
          <w:rFonts w:ascii="Garamond" w:hAnsi="Garamond"/>
          <w:sz w:val="28"/>
          <w:szCs w:val="28"/>
        </w:rPr>
        <w:t xml:space="preserve"> (ai sensi dell’art. 1 del R.D. n. 1611/1933) nei confronti delle </w:t>
      </w:r>
      <w:r w:rsidR="00AA1A2C">
        <w:rPr>
          <w:rFonts w:ascii="Garamond" w:hAnsi="Garamond"/>
          <w:sz w:val="28"/>
          <w:szCs w:val="28"/>
        </w:rPr>
        <w:t xml:space="preserve">sole </w:t>
      </w:r>
      <w:r>
        <w:rPr>
          <w:rFonts w:ascii="Garamond" w:hAnsi="Garamond"/>
          <w:sz w:val="28"/>
          <w:szCs w:val="28"/>
        </w:rPr>
        <w:t>Amministrazioni dello Stato (Presidenza del Consiglio, comparto dei Ministeri ecc.) e delle Regioni a Statuto Speciale</w:t>
      </w:r>
      <w:r w:rsidR="00B74612">
        <w:rPr>
          <w:rFonts w:ascii="Garamond" w:hAnsi="Garamond"/>
          <w:sz w:val="28"/>
          <w:szCs w:val="28"/>
        </w:rPr>
        <w:t>.</w:t>
      </w:r>
    </w:p>
    <w:p w14:paraId="4B4497DD" w14:textId="682F82BC" w:rsidR="00B74612" w:rsidRDefault="00B74612" w:rsidP="00E508E0">
      <w:pPr>
        <w:spacing w:line="360" w:lineRule="auto"/>
        <w:ind w:left="284" w:right="282"/>
        <w:jc w:val="both"/>
        <w:rPr>
          <w:rFonts w:ascii="Garamond" w:hAnsi="Garamond"/>
          <w:sz w:val="28"/>
          <w:szCs w:val="28"/>
        </w:rPr>
      </w:pPr>
      <w:r>
        <w:rPr>
          <w:rFonts w:ascii="Garamond" w:hAnsi="Garamond"/>
          <w:sz w:val="28"/>
          <w:szCs w:val="28"/>
        </w:rPr>
        <w:lastRenderedPageBreak/>
        <w:t xml:space="preserve">A tale patrocinio obbligatorio si aggiunge quello c.d. </w:t>
      </w:r>
      <w:r w:rsidR="00AA1A2C">
        <w:rPr>
          <w:rFonts w:ascii="Garamond" w:hAnsi="Garamond"/>
          <w:sz w:val="28"/>
          <w:szCs w:val="28"/>
        </w:rPr>
        <w:t>“</w:t>
      </w:r>
      <w:r>
        <w:rPr>
          <w:rFonts w:ascii="Garamond" w:hAnsi="Garamond"/>
          <w:sz w:val="28"/>
          <w:szCs w:val="28"/>
        </w:rPr>
        <w:t>facoltativo</w:t>
      </w:r>
      <w:r w:rsidR="00AA1A2C">
        <w:rPr>
          <w:rFonts w:ascii="Garamond" w:hAnsi="Garamond"/>
          <w:sz w:val="28"/>
          <w:szCs w:val="28"/>
        </w:rPr>
        <w:t>”</w:t>
      </w:r>
      <w:r>
        <w:rPr>
          <w:rFonts w:ascii="Garamond" w:hAnsi="Garamond"/>
          <w:sz w:val="28"/>
          <w:szCs w:val="28"/>
        </w:rPr>
        <w:t xml:space="preserve">, regolato dall’art. 43 del citato regio decreto, ai sensi del quale l’Avvocatura può essere chiamata al patrocinio di Amministrazioni non statali ove </w:t>
      </w:r>
      <w:r w:rsidRPr="00AA1A2C">
        <w:rPr>
          <w:rFonts w:ascii="Garamond" w:hAnsi="Garamond"/>
          <w:sz w:val="28"/>
          <w:szCs w:val="28"/>
          <w:u w:val="single"/>
        </w:rPr>
        <w:t>a ciò sia espressamente autorizzata da una disposizione di legge, di regolamento o di altro provvedimento approvato con regio decreto</w:t>
      </w:r>
      <w:r>
        <w:rPr>
          <w:rFonts w:ascii="Garamond" w:hAnsi="Garamond"/>
          <w:sz w:val="28"/>
          <w:szCs w:val="28"/>
        </w:rPr>
        <w:t xml:space="preserve"> (è il caso del patrocinio di enti pubblici di varia natura, quali le Università, gli Enti di ricerca ecc.).</w:t>
      </w:r>
    </w:p>
    <w:p w14:paraId="46FC50EC" w14:textId="58B9549C" w:rsidR="00AA1A2C" w:rsidRDefault="00AA1A2C" w:rsidP="00AA1A2C">
      <w:pPr>
        <w:spacing w:line="360" w:lineRule="auto"/>
        <w:ind w:left="284" w:right="282"/>
        <w:jc w:val="both"/>
        <w:rPr>
          <w:rFonts w:ascii="Garamond" w:hAnsi="Garamond"/>
          <w:sz w:val="28"/>
          <w:szCs w:val="28"/>
        </w:rPr>
      </w:pPr>
      <w:r>
        <w:rPr>
          <w:rFonts w:ascii="Garamond" w:hAnsi="Garamond"/>
          <w:sz w:val="28"/>
          <w:szCs w:val="28"/>
        </w:rPr>
        <w:t xml:space="preserve">In questo frangente </w:t>
      </w:r>
      <w:r w:rsidR="00B74612">
        <w:rPr>
          <w:rFonts w:ascii="Garamond" w:hAnsi="Garamond"/>
          <w:sz w:val="28"/>
          <w:szCs w:val="28"/>
        </w:rPr>
        <w:t xml:space="preserve">l’art. 107 del D.P.R. n. 616/1977 </w:t>
      </w:r>
      <w:r>
        <w:rPr>
          <w:rFonts w:ascii="Garamond" w:hAnsi="Garamond"/>
          <w:sz w:val="28"/>
          <w:szCs w:val="28"/>
        </w:rPr>
        <w:t xml:space="preserve">prevede che: </w:t>
      </w:r>
      <w:r w:rsidR="00B74612" w:rsidRPr="00B74612">
        <w:rPr>
          <w:rFonts w:ascii="Garamond" w:hAnsi="Garamond"/>
          <w:i/>
          <w:iCs/>
          <w:sz w:val="28"/>
          <w:szCs w:val="28"/>
        </w:rPr>
        <w:t xml:space="preserve">“Le regioni </w:t>
      </w:r>
      <w:r w:rsidR="00B74612" w:rsidRPr="00AA1A2C">
        <w:rPr>
          <w:rFonts w:ascii="Garamond" w:hAnsi="Garamond"/>
          <w:sz w:val="28"/>
          <w:szCs w:val="28"/>
        </w:rPr>
        <w:t>[a statuto ordinario</w:t>
      </w:r>
      <w:r>
        <w:rPr>
          <w:rFonts w:ascii="Garamond" w:hAnsi="Garamond"/>
          <w:sz w:val="28"/>
          <w:szCs w:val="28"/>
        </w:rPr>
        <w:t xml:space="preserve"> n.d.r.</w:t>
      </w:r>
      <w:r w:rsidR="00B74612" w:rsidRPr="00AA1A2C">
        <w:rPr>
          <w:rFonts w:ascii="Garamond" w:hAnsi="Garamond"/>
          <w:sz w:val="28"/>
          <w:szCs w:val="28"/>
        </w:rPr>
        <w:t>]</w:t>
      </w:r>
      <w:r w:rsidR="00B74612" w:rsidRPr="00B74612">
        <w:rPr>
          <w:rFonts w:ascii="Garamond" w:hAnsi="Garamond"/>
          <w:i/>
          <w:iCs/>
          <w:sz w:val="28"/>
          <w:szCs w:val="28"/>
        </w:rPr>
        <w:t xml:space="preserve"> possono avvalersi, nell'esercizio delle funzioni amministrative proprie o delegate, degli uffici o organi tecnici anche consultivi dello stato”</w:t>
      </w:r>
      <w:r w:rsidR="00B74612" w:rsidRPr="00B74612">
        <w:rPr>
          <w:rFonts w:ascii="Garamond" w:hAnsi="Garamond"/>
          <w:sz w:val="28"/>
          <w:szCs w:val="28"/>
        </w:rPr>
        <w:t>.</w:t>
      </w:r>
    </w:p>
    <w:p w14:paraId="5B42E331" w14:textId="0B48164F" w:rsidR="00AA1A2C" w:rsidRDefault="00B74612" w:rsidP="00E508E0">
      <w:pPr>
        <w:spacing w:line="360" w:lineRule="auto"/>
        <w:ind w:left="284" w:right="282"/>
        <w:jc w:val="both"/>
        <w:rPr>
          <w:rFonts w:ascii="Garamond" w:hAnsi="Garamond"/>
          <w:sz w:val="28"/>
          <w:szCs w:val="28"/>
        </w:rPr>
      </w:pPr>
      <w:r>
        <w:rPr>
          <w:rFonts w:ascii="Garamond" w:hAnsi="Garamond"/>
          <w:sz w:val="28"/>
          <w:szCs w:val="28"/>
        </w:rPr>
        <w:t>Il descritto quadro normativo consente pertanto</w:t>
      </w:r>
      <w:r w:rsidR="00AA1A2C">
        <w:rPr>
          <w:rFonts w:ascii="Garamond" w:hAnsi="Garamond"/>
          <w:sz w:val="28"/>
          <w:szCs w:val="28"/>
        </w:rPr>
        <w:t xml:space="preserve"> di affermare che le attribuzioni demandate all’Avvocatura dello Stato riguard</w:t>
      </w:r>
      <w:r w:rsidR="00E00FDB">
        <w:rPr>
          <w:rFonts w:ascii="Garamond" w:hAnsi="Garamond"/>
          <w:sz w:val="28"/>
          <w:szCs w:val="28"/>
        </w:rPr>
        <w:t>i</w:t>
      </w:r>
      <w:r w:rsidR="00AA1A2C">
        <w:rPr>
          <w:rFonts w:ascii="Garamond" w:hAnsi="Garamond"/>
          <w:sz w:val="28"/>
          <w:szCs w:val="28"/>
        </w:rPr>
        <w:t>no essenzialmente la difesa</w:t>
      </w:r>
      <w:r w:rsidR="00AB09EA">
        <w:rPr>
          <w:rFonts w:ascii="Garamond" w:hAnsi="Garamond"/>
          <w:sz w:val="28"/>
          <w:szCs w:val="28"/>
        </w:rPr>
        <w:t xml:space="preserve"> tecnica</w:t>
      </w:r>
      <w:r w:rsidR="00AA1A2C">
        <w:rPr>
          <w:rFonts w:ascii="Garamond" w:hAnsi="Garamond"/>
          <w:sz w:val="28"/>
          <w:szCs w:val="28"/>
        </w:rPr>
        <w:t xml:space="preserve"> delle Amministrazioni dello Stato, a cui può aggiungersi quella degli enti pubblici non statali quado ciò sia espressamente previsto per legge o per regolamento.</w:t>
      </w:r>
    </w:p>
    <w:p w14:paraId="0C55F7B2" w14:textId="562FAC86" w:rsidR="005A78E8" w:rsidRDefault="00B74612" w:rsidP="00E508E0">
      <w:pPr>
        <w:spacing w:line="360" w:lineRule="auto"/>
        <w:ind w:left="284" w:right="282"/>
        <w:jc w:val="both"/>
        <w:rPr>
          <w:rFonts w:ascii="Garamond" w:hAnsi="Garamond"/>
          <w:sz w:val="28"/>
          <w:szCs w:val="28"/>
        </w:rPr>
      </w:pPr>
      <w:r>
        <w:rPr>
          <w:rFonts w:ascii="Garamond" w:hAnsi="Garamond"/>
          <w:sz w:val="28"/>
          <w:szCs w:val="28"/>
        </w:rPr>
        <w:t xml:space="preserve"> </w:t>
      </w:r>
      <w:r w:rsidR="000106B5">
        <w:rPr>
          <w:rFonts w:ascii="Garamond" w:hAnsi="Garamond"/>
          <w:sz w:val="28"/>
          <w:szCs w:val="28"/>
        </w:rPr>
        <w:t>I</w:t>
      </w:r>
      <w:r w:rsidR="00AA1A2C">
        <w:rPr>
          <w:rFonts w:ascii="Garamond" w:hAnsi="Garamond"/>
          <w:sz w:val="28"/>
          <w:szCs w:val="28"/>
        </w:rPr>
        <w:t xml:space="preserve">n base alle norme </w:t>
      </w:r>
      <w:proofErr w:type="gramStart"/>
      <w:r w:rsidR="00AA1A2C">
        <w:rPr>
          <w:rFonts w:ascii="Garamond" w:hAnsi="Garamond"/>
          <w:sz w:val="28"/>
          <w:szCs w:val="28"/>
        </w:rPr>
        <w:t>dianzi</w:t>
      </w:r>
      <w:proofErr w:type="gramEnd"/>
      <w:r w:rsidR="00AA1A2C">
        <w:rPr>
          <w:rFonts w:ascii="Garamond" w:hAnsi="Garamond"/>
          <w:sz w:val="28"/>
          <w:szCs w:val="28"/>
        </w:rPr>
        <w:t xml:space="preserve"> richiamate, </w:t>
      </w:r>
      <w:r>
        <w:rPr>
          <w:rFonts w:ascii="Garamond" w:hAnsi="Garamond"/>
          <w:sz w:val="28"/>
          <w:szCs w:val="28"/>
        </w:rPr>
        <w:t>le amministrazioni comunali</w:t>
      </w:r>
      <w:r w:rsidR="00AA1A2C">
        <w:rPr>
          <w:rFonts w:ascii="Garamond" w:hAnsi="Garamond"/>
          <w:sz w:val="28"/>
          <w:szCs w:val="28"/>
        </w:rPr>
        <w:t xml:space="preserve"> non risultano incluse</w:t>
      </w:r>
      <w:r>
        <w:rPr>
          <w:rFonts w:ascii="Garamond" w:hAnsi="Garamond"/>
          <w:sz w:val="28"/>
          <w:szCs w:val="28"/>
        </w:rPr>
        <w:t xml:space="preserve"> nel novero dei soggetti ammessi a beneficiare del patrocinio dell’Avvocatura erariale</w:t>
      </w:r>
      <w:r w:rsidR="00AA1A2C">
        <w:rPr>
          <w:rFonts w:ascii="Garamond" w:hAnsi="Garamond"/>
          <w:sz w:val="28"/>
          <w:szCs w:val="28"/>
        </w:rPr>
        <w:t>. Una eventuale eccessiva estensione del patrocinio demandato all’Avvocatura</w:t>
      </w:r>
      <w:r w:rsidR="00AB09EA">
        <w:rPr>
          <w:rFonts w:ascii="Garamond" w:hAnsi="Garamond"/>
          <w:sz w:val="28"/>
          <w:szCs w:val="28"/>
        </w:rPr>
        <w:t>,</w:t>
      </w:r>
      <w:r w:rsidR="00AA1A2C">
        <w:rPr>
          <w:rFonts w:ascii="Garamond" w:hAnsi="Garamond"/>
          <w:sz w:val="28"/>
          <w:szCs w:val="28"/>
        </w:rPr>
        <w:t xml:space="preserve"> </w:t>
      </w:r>
      <w:r w:rsidR="00AB09EA">
        <w:rPr>
          <w:rFonts w:ascii="Garamond" w:hAnsi="Garamond"/>
          <w:sz w:val="28"/>
          <w:szCs w:val="28"/>
        </w:rPr>
        <w:t xml:space="preserve">infatti, </w:t>
      </w:r>
      <w:r w:rsidR="00AA1A2C">
        <w:rPr>
          <w:rFonts w:ascii="Garamond" w:hAnsi="Garamond"/>
          <w:sz w:val="28"/>
          <w:szCs w:val="28"/>
        </w:rPr>
        <w:t xml:space="preserve">risulta </w:t>
      </w:r>
      <w:r w:rsidR="005A78E8">
        <w:rPr>
          <w:rFonts w:ascii="Garamond" w:hAnsi="Garamond"/>
          <w:sz w:val="28"/>
          <w:szCs w:val="28"/>
        </w:rPr>
        <w:t>suscettibile di ingenerare situazioni di potenziale conflitto di interess</w:t>
      </w:r>
      <w:r w:rsidR="00AB09EA">
        <w:rPr>
          <w:rFonts w:ascii="Garamond" w:hAnsi="Garamond"/>
          <w:sz w:val="28"/>
          <w:szCs w:val="28"/>
        </w:rPr>
        <w:t>i</w:t>
      </w:r>
      <w:r w:rsidR="000106B5">
        <w:rPr>
          <w:rFonts w:ascii="Garamond" w:hAnsi="Garamond"/>
          <w:sz w:val="28"/>
          <w:szCs w:val="28"/>
        </w:rPr>
        <w:t xml:space="preserve"> </w:t>
      </w:r>
      <w:r w:rsidR="00E00FDB">
        <w:rPr>
          <w:rFonts w:ascii="Garamond" w:hAnsi="Garamond"/>
          <w:sz w:val="28"/>
          <w:szCs w:val="28"/>
        </w:rPr>
        <w:t>(</w:t>
      </w:r>
      <w:r w:rsidR="000106B5">
        <w:rPr>
          <w:rFonts w:ascii="Garamond" w:hAnsi="Garamond"/>
          <w:sz w:val="28"/>
          <w:szCs w:val="28"/>
        </w:rPr>
        <w:t>e di conseguente incompatibilità</w:t>
      </w:r>
      <w:r w:rsidR="00E00FDB">
        <w:rPr>
          <w:rFonts w:ascii="Garamond" w:hAnsi="Garamond"/>
          <w:sz w:val="28"/>
          <w:szCs w:val="28"/>
        </w:rPr>
        <w:t>)</w:t>
      </w:r>
      <w:r w:rsidR="000106B5">
        <w:rPr>
          <w:rFonts w:ascii="Garamond" w:hAnsi="Garamond"/>
          <w:sz w:val="28"/>
          <w:szCs w:val="28"/>
        </w:rPr>
        <w:t>,</w:t>
      </w:r>
      <w:r w:rsidR="005A78E8">
        <w:rPr>
          <w:rFonts w:ascii="Garamond" w:hAnsi="Garamond"/>
          <w:sz w:val="28"/>
          <w:szCs w:val="28"/>
        </w:rPr>
        <w:t xml:space="preserve"> </w:t>
      </w:r>
      <w:r w:rsidR="000106B5">
        <w:rPr>
          <w:rFonts w:ascii="Garamond" w:hAnsi="Garamond"/>
          <w:sz w:val="28"/>
          <w:szCs w:val="28"/>
        </w:rPr>
        <w:t>non coerenti con</w:t>
      </w:r>
      <w:r w:rsidR="005A78E8">
        <w:rPr>
          <w:rFonts w:ascii="Garamond" w:hAnsi="Garamond"/>
          <w:sz w:val="28"/>
          <w:szCs w:val="28"/>
        </w:rPr>
        <w:t xml:space="preserve"> le </w:t>
      </w:r>
      <w:r w:rsidR="000106B5">
        <w:rPr>
          <w:rFonts w:ascii="Garamond" w:hAnsi="Garamond"/>
          <w:sz w:val="28"/>
          <w:szCs w:val="28"/>
        </w:rPr>
        <w:t>istanze di tutela</w:t>
      </w:r>
      <w:r w:rsidR="005A78E8">
        <w:rPr>
          <w:rFonts w:ascii="Garamond" w:hAnsi="Garamond"/>
          <w:sz w:val="28"/>
          <w:szCs w:val="28"/>
        </w:rPr>
        <w:t xml:space="preserve"> demandate all’organo di difesa legale dello Stato.</w:t>
      </w:r>
    </w:p>
    <w:p w14:paraId="79675F5C" w14:textId="424345F6" w:rsidR="003A6302" w:rsidRDefault="003A6302" w:rsidP="00E508E0">
      <w:pPr>
        <w:spacing w:line="360" w:lineRule="auto"/>
        <w:ind w:left="284" w:right="282"/>
        <w:jc w:val="both"/>
        <w:rPr>
          <w:rFonts w:ascii="Garamond" w:hAnsi="Garamond"/>
          <w:sz w:val="28"/>
          <w:szCs w:val="28"/>
        </w:rPr>
      </w:pPr>
      <w:r w:rsidRPr="00E00FDB">
        <w:rPr>
          <w:rFonts w:ascii="Garamond" w:hAnsi="Garamond"/>
          <w:sz w:val="28"/>
          <w:szCs w:val="28"/>
        </w:rPr>
        <w:t xml:space="preserve">Resta inteso che laddove vengano in rilievo questioni di carattere generale e di massima, che riguardino l’interpretazione e la corretta applicazione della normativa sul CAS, con esclusione dei profili e delle questioni che invece coinvolgano esclusivamente responsabilità e competenze gestionali e operative del Comune, la </w:t>
      </w:r>
      <w:r w:rsidRPr="00E00FDB">
        <w:rPr>
          <w:rFonts w:ascii="Garamond" w:hAnsi="Garamond"/>
          <w:sz w:val="28"/>
          <w:szCs w:val="28"/>
        </w:rPr>
        <w:lastRenderedPageBreak/>
        <w:t>Scrivente potrà valutare con l’Avvocatura il possibile intervento in giudizio del Commissario Straordinario a sostegno del Comune.</w:t>
      </w:r>
    </w:p>
    <w:p w14:paraId="721C94BA" w14:textId="02F41337" w:rsidR="00B74612" w:rsidRDefault="00BE3753" w:rsidP="00E508E0">
      <w:pPr>
        <w:spacing w:line="360" w:lineRule="auto"/>
        <w:ind w:left="284" w:right="282"/>
        <w:jc w:val="both"/>
        <w:rPr>
          <w:rFonts w:ascii="Garamond" w:hAnsi="Garamond"/>
          <w:sz w:val="28"/>
          <w:szCs w:val="28"/>
        </w:rPr>
      </w:pPr>
      <w:r>
        <w:rPr>
          <w:rFonts w:ascii="Garamond" w:hAnsi="Garamond"/>
          <w:sz w:val="28"/>
          <w:szCs w:val="28"/>
        </w:rPr>
        <w:t>Con riguardo alla seconda questione, quella concernente</w:t>
      </w:r>
      <w:r w:rsidR="00AA1A2C">
        <w:rPr>
          <w:rFonts w:ascii="Garamond" w:hAnsi="Garamond"/>
          <w:sz w:val="28"/>
          <w:szCs w:val="28"/>
        </w:rPr>
        <w:t xml:space="preserve"> </w:t>
      </w:r>
      <w:r w:rsidR="00AB09EA">
        <w:rPr>
          <w:rFonts w:ascii="Garamond" w:hAnsi="Garamond"/>
          <w:sz w:val="28"/>
          <w:szCs w:val="28"/>
        </w:rPr>
        <w:t xml:space="preserve">il rimborso delle spese legali sostenute o da sostenere, si rileva che le attività sottese all’erogazione del contributo di autonoma sistemazione (CAS) </w:t>
      </w:r>
      <w:r w:rsidR="000106B5">
        <w:rPr>
          <w:rFonts w:ascii="Garamond" w:hAnsi="Garamond"/>
          <w:sz w:val="28"/>
          <w:szCs w:val="28"/>
        </w:rPr>
        <w:t>risultano</w:t>
      </w:r>
      <w:r w:rsidR="00AB09EA">
        <w:rPr>
          <w:rFonts w:ascii="Garamond" w:hAnsi="Garamond"/>
          <w:sz w:val="28"/>
          <w:szCs w:val="28"/>
        </w:rPr>
        <w:t xml:space="preserve"> espressione di funzioni proprie delle Amministrazioni comunali, attribuite </w:t>
      </w:r>
      <w:r w:rsidR="00245052">
        <w:rPr>
          <w:rFonts w:ascii="Garamond" w:hAnsi="Garamond"/>
          <w:sz w:val="28"/>
          <w:szCs w:val="28"/>
        </w:rPr>
        <w:t>in virtù delle</w:t>
      </w:r>
      <w:r w:rsidR="00AB09EA">
        <w:rPr>
          <w:rFonts w:ascii="Garamond" w:hAnsi="Garamond"/>
          <w:sz w:val="28"/>
          <w:szCs w:val="28"/>
        </w:rPr>
        <w:t xml:space="preserve"> </w:t>
      </w:r>
      <w:r w:rsidR="000106B5">
        <w:rPr>
          <w:rFonts w:ascii="Garamond" w:hAnsi="Garamond"/>
          <w:sz w:val="28"/>
          <w:szCs w:val="28"/>
        </w:rPr>
        <w:t xml:space="preserve">citate </w:t>
      </w:r>
      <w:r w:rsidR="00AB09EA">
        <w:rPr>
          <w:rFonts w:ascii="Garamond" w:hAnsi="Garamond"/>
          <w:sz w:val="28"/>
          <w:szCs w:val="28"/>
        </w:rPr>
        <w:t xml:space="preserve">ordinanze del Capo </w:t>
      </w:r>
      <w:r w:rsidR="00245052">
        <w:rPr>
          <w:rFonts w:ascii="Garamond" w:hAnsi="Garamond"/>
          <w:sz w:val="28"/>
          <w:szCs w:val="28"/>
        </w:rPr>
        <w:t>D</w:t>
      </w:r>
      <w:r w:rsidR="00AB09EA">
        <w:rPr>
          <w:rFonts w:ascii="Garamond" w:hAnsi="Garamond"/>
          <w:sz w:val="28"/>
          <w:szCs w:val="28"/>
        </w:rPr>
        <w:t xml:space="preserve">ipartimento della Protezione </w:t>
      </w:r>
      <w:r w:rsidR="00245052">
        <w:rPr>
          <w:rFonts w:ascii="Garamond" w:hAnsi="Garamond"/>
          <w:sz w:val="28"/>
          <w:szCs w:val="28"/>
        </w:rPr>
        <w:t>C</w:t>
      </w:r>
      <w:r w:rsidR="00AB09EA">
        <w:rPr>
          <w:rFonts w:ascii="Garamond" w:hAnsi="Garamond"/>
          <w:sz w:val="28"/>
          <w:szCs w:val="28"/>
        </w:rPr>
        <w:t>ivile</w:t>
      </w:r>
      <w:r w:rsidR="00AB09EA" w:rsidRPr="00AB09EA">
        <w:t xml:space="preserve"> </w:t>
      </w:r>
      <w:proofErr w:type="spellStart"/>
      <w:r w:rsidR="00AB09EA" w:rsidRPr="00AB09EA">
        <w:rPr>
          <w:rFonts w:ascii="Garamond" w:hAnsi="Garamond"/>
          <w:sz w:val="28"/>
          <w:szCs w:val="28"/>
        </w:rPr>
        <w:t>nn</w:t>
      </w:r>
      <w:proofErr w:type="spellEnd"/>
      <w:r w:rsidR="00AB09EA" w:rsidRPr="00AB09EA">
        <w:rPr>
          <w:rFonts w:ascii="Garamond" w:hAnsi="Garamond"/>
          <w:sz w:val="28"/>
          <w:szCs w:val="28"/>
        </w:rPr>
        <w:t>. 388/2016, 408/2016 e 614/2019</w:t>
      </w:r>
      <w:r w:rsidR="00245052">
        <w:rPr>
          <w:rFonts w:ascii="Garamond" w:hAnsi="Garamond"/>
          <w:sz w:val="28"/>
          <w:szCs w:val="28"/>
        </w:rPr>
        <w:t>.</w:t>
      </w:r>
    </w:p>
    <w:p w14:paraId="6FE6463A" w14:textId="1CAC6524" w:rsidR="00245052" w:rsidRDefault="00245052" w:rsidP="00E508E0">
      <w:pPr>
        <w:spacing w:line="360" w:lineRule="auto"/>
        <w:ind w:left="284" w:right="282"/>
        <w:jc w:val="both"/>
        <w:rPr>
          <w:rFonts w:ascii="Garamond" w:hAnsi="Garamond"/>
          <w:sz w:val="28"/>
          <w:szCs w:val="28"/>
        </w:rPr>
      </w:pPr>
      <w:r>
        <w:rPr>
          <w:rFonts w:ascii="Garamond" w:hAnsi="Garamond"/>
          <w:sz w:val="28"/>
          <w:szCs w:val="28"/>
        </w:rPr>
        <w:t>Siffatte autonome attribuzioni richiedono ai comuni di agire nel rispetto dei principi di imparzialità e</w:t>
      </w:r>
      <w:r w:rsidR="000106B5">
        <w:rPr>
          <w:rFonts w:ascii="Garamond" w:hAnsi="Garamond"/>
          <w:sz w:val="28"/>
          <w:szCs w:val="28"/>
        </w:rPr>
        <w:t xml:space="preserve"> di</w:t>
      </w:r>
      <w:r>
        <w:rPr>
          <w:rFonts w:ascii="Garamond" w:hAnsi="Garamond"/>
          <w:sz w:val="28"/>
          <w:szCs w:val="28"/>
        </w:rPr>
        <w:t xml:space="preserve"> buon andamento </w:t>
      </w:r>
      <w:r w:rsidR="000106B5">
        <w:rPr>
          <w:rFonts w:ascii="Garamond" w:hAnsi="Garamond"/>
          <w:sz w:val="28"/>
          <w:szCs w:val="28"/>
        </w:rPr>
        <w:t>dell’azione amministrativa ai sensi de</w:t>
      </w:r>
      <w:r>
        <w:rPr>
          <w:rFonts w:ascii="Garamond" w:hAnsi="Garamond"/>
          <w:sz w:val="28"/>
          <w:szCs w:val="28"/>
        </w:rPr>
        <w:t>ll’art. 97 Cost., e - ove necessario - di rispondere del proprio operato anche presso le competenti sedi giudiziarie, facendo fronte ai connessi oneri che in ogni caso potranno essere ristorati attraverso l’eventuale condanna della controparte soccombente alla rifusione delle spese di lite ai sensi dell’art. 91 c.p.c.</w:t>
      </w:r>
    </w:p>
    <w:p w14:paraId="115122C8" w14:textId="77777777" w:rsidR="00794908" w:rsidRDefault="00794908" w:rsidP="00794908">
      <w:pPr>
        <w:spacing w:line="276" w:lineRule="auto"/>
        <w:ind w:left="284" w:right="282"/>
        <w:jc w:val="both"/>
        <w:rPr>
          <w:rFonts w:ascii="Garamond" w:hAnsi="Garamond"/>
          <w:sz w:val="28"/>
          <w:szCs w:val="28"/>
        </w:rPr>
      </w:pPr>
    </w:p>
    <w:p w14:paraId="5C4C5710" w14:textId="600DED30" w:rsidR="007D722C" w:rsidRPr="00794908" w:rsidRDefault="00794908" w:rsidP="00794908">
      <w:pPr>
        <w:spacing w:line="276" w:lineRule="auto"/>
        <w:ind w:left="284" w:right="282"/>
        <w:jc w:val="both"/>
        <w:rPr>
          <w:rFonts w:ascii="Garamond" w:hAnsi="Garamond"/>
          <w:b/>
          <w:bCs/>
          <w:sz w:val="28"/>
          <w:szCs w:val="28"/>
        </w:rPr>
      </w:pPr>
      <w:r w:rsidRPr="00794908">
        <w:rPr>
          <w:rFonts w:ascii="Garamond" w:hAnsi="Garamond"/>
          <w:b/>
          <w:bCs/>
          <w:sz w:val="28"/>
          <w:szCs w:val="28"/>
        </w:rPr>
        <w:t xml:space="preserve">L’Esperto Giuridico </w:t>
      </w:r>
    </w:p>
    <w:p w14:paraId="0D1E4357" w14:textId="43B35548" w:rsidR="00794908" w:rsidRPr="00794908" w:rsidRDefault="00794908" w:rsidP="00794908">
      <w:pPr>
        <w:spacing w:line="276" w:lineRule="auto"/>
        <w:ind w:left="284" w:right="282"/>
        <w:jc w:val="both"/>
        <w:rPr>
          <w:rFonts w:ascii="Garamond" w:hAnsi="Garamond"/>
          <w:b/>
          <w:bCs/>
          <w:sz w:val="28"/>
          <w:szCs w:val="28"/>
        </w:rPr>
      </w:pPr>
      <w:r w:rsidRPr="00794908">
        <w:rPr>
          <w:rFonts w:ascii="Garamond" w:hAnsi="Garamond"/>
          <w:b/>
          <w:bCs/>
          <w:sz w:val="28"/>
          <w:szCs w:val="28"/>
        </w:rPr>
        <w:t>Alessandro Jacoangeli</w:t>
      </w:r>
    </w:p>
    <w:p w14:paraId="51DB7AA8" w14:textId="5828FDEA" w:rsidR="00794908" w:rsidRPr="00794908" w:rsidRDefault="00794908" w:rsidP="00794908">
      <w:pPr>
        <w:spacing w:line="276" w:lineRule="auto"/>
        <w:ind w:left="284" w:right="282"/>
        <w:jc w:val="right"/>
        <w:rPr>
          <w:rFonts w:ascii="Garamond" w:hAnsi="Garamond"/>
          <w:b/>
          <w:bCs/>
          <w:sz w:val="28"/>
          <w:szCs w:val="28"/>
        </w:rPr>
      </w:pPr>
      <w:r w:rsidRPr="00794908">
        <w:rPr>
          <w:rFonts w:ascii="Garamond" w:hAnsi="Garamond"/>
          <w:b/>
          <w:bCs/>
          <w:sz w:val="28"/>
          <w:szCs w:val="28"/>
        </w:rPr>
        <w:t>Il Consigliere Giuridico</w:t>
      </w:r>
    </w:p>
    <w:p w14:paraId="37A1F078" w14:textId="0D891C43" w:rsidR="00794908" w:rsidRPr="00794908" w:rsidRDefault="00794908" w:rsidP="00794908">
      <w:pPr>
        <w:spacing w:line="276" w:lineRule="auto"/>
        <w:ind w:left="284" w:right="282"/>
        <w:jc w:val="right"/>
        <w:rPr>
          <w:rFonts w:ascii="Garamond" w:hAnsi="Garamond"/>
          <w:b/>
          <w:bCs/>
          <w:sz w:val="28"/>
          <w:szCs w:val="28"/>
        </w:rPr>
      </w:pPr>
      <w:r w:rsidRPr="00794908">
        <w:rPr>
          <w:rFonts w:ascii="Garamond" w:hAnsi="Garamond"/>
          <w:b/>
          <w:bCs/>
          <w:sz w:val="28"/>
          <w:szCs w:val="28"/>
        </w:rPr>
        <w:t>Pierluigi Mantini</w:t>
      </w:r>
    </w:p>
    <w:sectPr w:rsidR="00794908" w:rsidRPr="0079490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24F2" w14:textId="77777777" w:rsidR="00FD4D7E" w:rsidRDefault="00FD4D7E" w:rsidP="00D15274">
      <w:pPr>
        <w:spacing w:after="0" w:line="240" w:lineRule="auto"/>
      </w:pPr>
      <w:r>
        <w:separator/>
      </w:r>
    </w:p>
  </w:endnote>
  <w:endnote w:type="continuationSeparator" w:id="0">
    <w:p w14:paraId="5236A5AF" w14:textId="77777777" w:rsidR="00FD4D7E" w:rsidRDefault="00FD4D7E" w:rsidP="00D1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7C64" w14:textId="77777777" w:rsidR="00A45414" w:rsidRDefault="00A454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74E9" w14:textId="1B312B28" w:rsidR="00CB59F2" w:rsidRPr="00CB59F2" w:rsidRDefault="00CB59F2" w:rsidP="00D15274">
    <w:pPr>
      <w:pStyle w:val="Pidipagina"/>
      <w:jc w:val="center"/>
      <w:rPr>
        <w:rFonts w:cstheme="minorHAnsi"/>
        <w:b/>
        <w:bCs/>
        <w:color w:val="AEAAAA" w:themeColor="background2" w:themeShade="BF"/>
        <w:sz w:val="20"/>
        <w:szCs w:val="20"/>
      </w:rPr>
    </w:pPr>
    <w:r w:rsidRPr="00CB59F2">
      <w:rPr>
        <w:rFonts w:cstheme="minorHAnsi"/>
        <w:b/>
        <w:bCs/>
        <w:color w:val="AEAAAA" w:themeColor="background2" w:themeShade="BF"/>
        <w:sz w:val="20"/>
        <w:szCs w:val="20"/>
      </w:rPr>
      <w:t>____________________________________________________________________________</w:t>
    </w:r>
  </w:p>
  <w:p w14:paraId="26E8C6CE" w14:textId="762AA794" w:rsidR="00D15274" w:rsidRPr="00D07BE6" w:rsidRDefault="00D15274" w:rsidP="00D15274">
    <w:pPr>
      <w:pStyle w:val="Pidipagina"/>
      <w:jc w:val="center"/>
      <w:rPr>
        <w:rFonts w:cstheme="minorHAnsi"/>
        <w:b/>
        <w:bCs/>
        <w:sz w:val="18"/>
        <w:szCs w:val="18"/>
      </w:rPr>
    </w:pPr>
    <w:r w:rsidRPr="00D07BE6">
      <w:rPr>
        <w:rFonts w:cstheme="minorHAnsi"/>
        <w:b/>
        <w:bCs/>
        <w:sz w:val="18"/>
        <w:szCs w:val="18"/>
      </w:rPr>
      <w:t>Sede istituzionale</w:t>
    </w:r>
    <w:r w:rsidRPr="00D07BE6">
      <w:rPr>
        <w:rFonts w:cstheme="minorHAnsi"/>
        <w:sz w:val="18"/>
        <w:szCs w:val="18"/>
      </w:rPr>
      <w:t xml:space="preserve"> Palazzo </w:t>
    </w:r>
    <w:r w:rsidR="00D07BE6" w:rsidRPr="00D07BE6">
      <w:rPr>
        <w:rFonts w:cstheme="minorHAnsi"/>
        <w:sz w:val="18"/>
        <w:szCs w:val="18"/>
      </w:rPr>
      <w:t>V</w:t>
    </w:r>
    <w:r w:rsidRPr="00D07BE6">
      <w:rPr>
        <w:rFonts w:cstheme="minorHAnsi"/>
        <w:sz w:val="18"/>
        <w:szCs w:val="18"/>
      </w:rPr>
      <w:t xml:space="preserve">alentini, via IV Novembre, 119/a </w:t>
    </w:r>
    <w:r w:rsidR="00F80FB7" w:rsidRPr="00D07BE6">
      <w:rPr>
        <w:rFonts w:cstheme="minorHAnsi"/>
        <w:sz w:val="18"/>
        <w:szCs w:val="18"/>
      </w:rPr>
      <w:t>-</w:t>
    </w:r>
    <w:r w:rsidRPr="00D07BE6">
      <w:rPr>
        <w:rFonts w:cstheme="minorHAnsi"/>
        <w:sz w:val="18"/>
        <w:szCs w:val="18"/>
      </w:rPr>
      <w:t xml:space="preserve"> 00187 Roma tel. </w:t>
    </w:r>
    <w:r w:rsidRPr="00D07BE6">
      <w:rPr>
        <w:rFonts w:cstheme="minorHAnsi"/>
        <w:b/>
        <w:bCs/>
        <w:sz w:val="18"/>
        <w:szCs w:val="18"/>
      </w:rPr>
      <w:t>06 67662783</w:t>
    </w:r>
  </w:p>
  <w:p w14:paraId="33C6893D" w14:textId="27ADB8A5"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 Roma</w:t>
    </w:r>
    <w:r w:rsidRPr="00D07BE6">
      <w:rPr>
        <w:rFonts w:cstheme="minorHAnsi"/>
        <w:sz w:val="18"/>
        <w:szCs w:val="18"/>
      </w:rPr>
      <w:t xml:space="preserve"> Via della Ferratella in Laterano, 51 </w:t>
    </w:r>
    <w:r w:rsidR="00F80FB7" w:rsidRPr="00D07BE6">
      <w:rPr>
        <w:rFonts w:cstheme="minorHAnsi"/>
        <w:sz w:val="18"/>
        <w:szCs w:val="18"/>
      </w:rPr>
      <w:t>-</w:t>
    </w:r>
    <w:r w:rsidRPr="00D07BE6">
      <w:rPr>
        <w:rFonts w:cstheme="minorHAnsi"/>
        <w:sz w:val="18"/>
        <w:szCs w:val="18"/>
      </w:rPr>
      <w:t xml:space="preserve"> 00184 Roma tel. </w:t>
    </w:r>
    <w:r w:rsidRPr="00D07BE6">
      <w:rPr>
        <w:rFonts w:cstheme="minorHAnsi"/>
        <w:b/>
        <w:bCs/>
        <w:sz w:val="18"/>
        <w:szCs w:val="18"/>
      </w:rPr>
      <w:t>06 67795118</w:t>
    </w:r>
  </w:p>
  <w:p w14:paraId="73677CAE" w14:textId="3A203D81"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w:t>
    </w:r>
    <w:r w:rsidRPr="00D07BE6">
      <w:rPr>
        <w:rFonts w:cstheme="minorHAnsi"/>
        <w:sz w:val="18"/>
        <w:szCs w:val="18"/>
      </w:rPr>
      <w:t xml:space="preserve"> </w:t>
    </w:r>
    <w:r w:rsidRPr="00D07BE6">
      <w:rPr>
        <w:rFonts w:cstheme="minorHAnsi"/>
        <w:b/>
        <w:bCs/>
        <w:sz w:val="18"/>
        <w:szCs w:val="18"/>
      </w:rPr>
      <w:t xml:space="preserve">Rieti </w:t>
    </w:r>
    <w:r w:rsidRPr="00D07BE6">
      <w:rPr>
        <w:rFonts w:cstheme="minorHAnsi"/>
        <w:sz w:val="18"/>
        <w:szCs w:val="18"/>
      </w:rPr>
      <w:t xml:space="preserve">Via Giuseppe Pitoni, 2 </w:t>
    </w:r>
    <w:r w:rsidR="00F80FB7" w:rsidRPr="00D07BE6">
      <w:rPr>
        <w:rFonts w:cstheme="minorHAnsi"/>
        <w:sz w:val="18"/>
        <w:szCs w:val="18"/>
      </w:rPr>
      <w:t>-</w:t>
    </w:r>
    <w:r w:rsidRPr="00D07BE6">
      <w:rPr>
        <w:rFonts w:cstheme="minorHAnsi"/>
        <w:sz w:val="18"/>
        <w:szCs w:val="18"/>
      </w:rPr>
      <w:t xml:space="preserve"> 02100 Rieti tel. </w:t>
    </w:r>
    <w:r w:rsidRPr="00D07BE6">
      <w:rPr>
        <w:rFonts w:cstheme="minorHAnsi"/>
        <w:b/>
        <w:bCs/>
        <w:sz w:val="18"/>
        <w:szCs w:val="18"/>
      </w:rPr>
      <w:t>0746 1741925</w:t>
    </w:r>
  </w:p>
  <w:p w14:paraId="70EE85A5" w14:textId="2E8FB6E0" w:rsidR="00D15274" w:rsidRPr="00D07BE6" w:rsidRDefault="00FD4D7E" w:rsidP="00D15274">
    <w:pPr>
      <w:pStyle w:val="Pidipagina"/>
      <w:jc w:val="center"/>
      <w:rPr>
        <w:rFonts w:cstheme="minorHAnsi"/>
        <w:sz w:val="18"/>
        <w:szCs w:val="18"/>
      </w:rPr>
    </w:pPr>
    <w:hyperlink r:id="rId1" w:history="1">
      <w:r w:rsidR="00D15274" w:rsidRPr="00D07BE6">
        <w:rPr>
          <w:rStyle w:val="Collegamentoipertestuale"/>
          <w:rFonts w:cstheme="minorHAnsi"/>
          <w:color w:val="auto"/>
          <w:sz w:val="18"/>
          <w:szCs w:val="18"/>
          <w:u w:val="none"/>
        </w:rPr>
        <w:t>comm.ricostruzionesisma2016@pec.governo.it</w:t>
      </w:r>
    </w:hyperlink>
    <w:r w:rsidR="00D15274" w:rsidRPr="00D07BE6">
      <w:rPr>
        <w:rFonts w:cstheme="minorHAnsi"/>
        <w:sz w:val="18"/>
        <w:szCs w:val="18"/>
      </w:rPr>
      <w:t xml:space="preserve"> </w:t>
    </w:r>
    <w:r w:rsidR="00F80FB7" w:rsidRPr="00D07BE6">
      <w:rPr>
        <w:rFonts w:cstheme="minorHAnsi"/>
        <w:sz w:val="18"/>
        <w:szCs w:val="18"/>
      </w:rPr>
      <w:t>-</w:t>
    </w:r>
    <w:r w:rsidR="00D15274" w:rsidRPr="00D07BE6">
      <w:rPr>
        <w:rFonts w:cstheme="minorHAnsi"/>
        <w:sz w:val="18"/>
        <w:szCs w:val="18"/>
      </w:rPr>
      <w:t xml:space="preserve"> commissario.sisma2016@governo.it</w:t>
    </w:r>
  </w:p>
  <w:p w14:paraId="07722ADD" w14:textId="77777777" w:rsidR="00D15274" w:rsidRPr="00D15274" w:rsidRDefault="00D15274">
    <w:pPr>
      <w:pStyle w:val="Pidipagina"/>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5865" w14:textId="77777777" w:rsidR="00A45414" w:rsidRDefault="00A454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4AEA" w14:textId="77777777" w:rsidR="00FD4D7E" w:rsidRDefault="00FD4D7E" w:rsidP="00D15274">
      <w:pPr>
        <w:spacing w:after="0" w:line="240" w:lineRule="auto"/>
      </w:pPr>
      <w:r>
        <w:separator/>
      </w:r>
    </w:p>
  </w:footnote>
  <w:footnote w:type="continuationSeparator" w:id="0">
    <w:p w14:paraId="21002F08" w14:textId="77777777" w:rsidR="00FD4D7E" w:rsidRDefault="00FD4D7E" w:rsidP="00D1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A926" w14:textId="77777777" w:rsidR="00A45414" w:rsidRDefault="00A454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60C" w14:textId="2F33CCCD" w:rsidR="00835F3C" w:rsidRPr="00835F3C" w:rsidRDefault="00BE3512">
    <w:pPr>
      <w:pStyle w:val="Intestazione"/>
    </w:pPr>
    <w:r>
      <w:rPr>
        <w:noProof/>
      </w:rPr>
      <w:drawing>
        <wp:inline distT="0" distB="0" distL="0" distR="0" wp14:anchorId="0BD3AADA" wp14:editId="24A929E8">
          <wp:extent cx="4119843" cy="1133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704" cy="1164801"/>
                  </a:xfrm>
                  <a:prstGeom prst="rect">
                    <a:avLst/>
                  </a:prstGeom>
                  <a:noFill/>
                  <a:ln>
                    <a:noFill/>
                  </a:ln>
                </pic:spPr>
              </pic:pic>
            </a:graphicData>
          </a:graphic>
        </wp:inline>
      </w:drawing>
    </w:r>
  </w:p>
  <w:p w14:paraId="0E55EB88" w14:textId="33A64A11" w:rsidR="00BE3512" w:rsidRPr="00835F3C" w:rsidRDefault="00835F3C" w:rsidP="00A45414">
    <w:pPr>
      <w:pStyle w:val="Intestazione"/>
      <w:spacing w:line="276" w:lineRule="auto"/>
      <w:rPr>
        <w:rFonts w:ascii="Times New Roman" w:hAnsi="Times New Roman" w:cs="Times New Roman"/>
        <w:sz w:val="18"/>
        <w:szCs w:val="18"/>
      </w:rPr>
    </w:pPr>
    <w:bookmarkStart w:id="0" w:name="_Hlk52375857"/>
    <w:r w:rsidRPr="00835F3C">
      <w:rPr>
        <w:rFonts w:ascii="Times New Roman" w:hAnsi="Times New Roman" w:cs="Times New Roman"/>
        <w:sz w:val="18"/>
        <w:szCs w:val="18"/>
      </w:rPr>
      <w:t xml:space="preserve">            </w:t>
    </w:r>
    <w:r w:rsidR="00A45414">
      <w:rPr>
        <w:rFonts w:ascii="Times New Roman" w:hAnsi="Times New Roman" w:cs="Times New Roman"/>
        <w:sz w:val="18"/>
        <w:szCs w:val="18"/>
      </w:rPr>
      <w:t xml:space="preserve">      </w:t>
    </w:r>
    <w:r w:rsidRPr="00835F3C">
      <w:rPr>
        <w:rFonts w:ascii="Times New Roman" w:hAnsi="Times New Roman" w:cs="Times New Roman"/>
        <w:sz w:val="18"/>
        <w:szCs w:val="18"/>
      </w:rPr>
      <w:t xml:space="preserve"> </w:t>
    </w:r>
    <w:r w:rsidR="00A45414">
      <w:rPr>
        <w:rFonts w:ascii="Times New Roman" w:hAnsi="Times New Roman" w:cs="Times New Roman"/>
        <w:sz w:val="18"/>
        <w:szCs w:val="18"/>
      </w:rPr>
      <w:t>Il</w:t>
    </w:r>
    <w:r w:rsidR="00BE3512" w:rsidRPr="00835F3C">
      <w:rPr>
        <w:rFonts w:ascii="Times New Roman" w:hAnsi="Times New Roman" w:cs="Times New Roman"/>
        <w:sz w:val="18"/>
        <w:szCs w:val="18"/>
      </w:rPr>
      <w:t xml:space="preserve"> Commissario Straordinario del Governo ai fini della ricostruzione</w:t>
    </w:r>
  </w:p>
  <w:p w14:paraId="2E8A9B1C" w14:textId="183D2454" w:rsidR="00BE3512" w:rsidRPr="00835F3C" w:rsidRDefault="00BE3512" w:rsidP="00A45414">
    <w:pPr>
      <w:pStyle w:val="Intestazione"/>
      <w:spacing w:line="276" w:lineRule="auto"/>
      <w:rPr>
        <w:rFonts w:ascii="Arial" w:hAnsi="Arial" w:cs="Arial"/>
        <w:sz w:val="18"/>
        <w:szCs w:val="18"/>
      </w:rPr>
    </w:pPr>
    <w:r w:rsidRPr="00835F3C">
      <w:rPr>
        <w:rFonts w:ascii="Times New Roman" w:hAnsi="Times New Roman" w:cs="Times New Roman"/>
        <w:sz w:val="18"/>
        <w:szCs w:val="18"/>
      </w:rPr>
      <w:t xml:space="preserve">       </w:t>
    </w:r>
    <w:r w:rsidR="00A45414">
      <w:rPr>
        <w:rFonts w:ascii="Times New Roman" w:hAnsi="Times New Roman" w:cs="Times New Roman"/>
        <w:sz w:val="18"/>
        <w:szCs w:val="18"/>
      </w:rPr>
      <w:t xml:space="preserve">nei territori interessati dagli eventi sismici verificatesi a far data dal 24 </w:t>
    </w:r>
    <w:proofErr w:type="gramStart"/>
    <w:r w:rsidR="00A45414">
      <w:rPr>
        <w:rFonts w:ascii="Times New Roman" w:hAnsi="Times New Roman" w:cs="Times New Roman"/>
        <w:sz w:val="18"/>
        <w:szCs w:val="18"/>
      </w:rPr>
      <w:t>Agosto</w:t>
    </w:r>
    <w:proofErr w:type="gramEnd"/>
    <w:r w:rsidR="00A45414">
      <w:rPr>
        <w:rFonts w:ascii="Times New Roman" w:hAnsi="Times New Roman" w:cs="Times New Roman"/>
        <w:sz w:val="18"/>
        <w:szCs w:val="18"/>
      </w:rPr>
      <w:t xml:space="preserve"> 2016</w:t>
    </w:r>
  </w:p>
  <w:bookmarkEnd w:id="0"/>
  <w:p w14:paraId="58E33FC7" w14:textId="36019169" w:rsidR="00BE3512" w:rsidRPr="00D06C84" w:rsidRDefault="00835F3C">
    <w:pPr>
      <w:pStyle w:val="Intestazione"/>
      <w:rPr>
        <w:rFonts w:asciiTheme="majorHAnsi" w:hAnsiTheme="majorHAnsi" w:cs="Times New Roman"/>
        <w:color w:val="AEAAAA" w:themeColor="background2" w:themeShade="BF"/>
        <w:sz w:val="16"/>
        <w:szCs w:val="16"/>
      </w:rPr>
    </w:pPr>
    <w:r>
      <w:rPr>
        <w:rFonts w:asciiTheme="majorHAnsi" w:hAnsiTheme="majorHAnsi" w:cs="Times New Roman"/>
        <w:color w:val="AEAAAA" w:themeColor="background2" w:themeShade="B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F59B" w14:textId="77777777" w:rsidR="00A45414" w:rsidRDefault="00A454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74"/>
    <w:rsid w:val="00002A25"/>
    <w:rsid w:val="000106B5"/>
    <w:rsid w:val="000B7BC2"/>
    <w:rsid w:val="000C6FF6"/>
    <w:rsid w:val="00144528"/>
    <w:rsid w:val="00164172"/>
    <w:rsid w:val="001F4C44"/>
    <w:rsid w:val="002067AB"/>
    <w:rsid w:val="00230499"/>
    <w:rsid w:val="00245052"/>
    <w:rsid w:val="0026282B"/>
    <w:rsid w:val="00265067"/>
    <w:rsid w:val="002801C3"/>
    <w:rsid w:val="002B5144"/>
    <w:rsid w:val="002E4A48"/>
    <w:rsid w:val="00384898"/>
    <w:rsid w:val="003867E1"/>
    <w:rsid w:val="003A60D0"/>
    <w:rsid w:val="003A6302"/>
    <w:rsid w:val="003B01ED"/>
    <w:rsid w:val="003F4B33"/>
    <w:rsid w:val="00460FD6"/>
    <w:rsid w:val="00503370"/>
    <w:rsid w:val="005359AD"/>
    <w:rsid w:val="005A78E8"/>
    <w:rsid w:val="005B0362"/>
    <w:rsid w:val="005B52DC"/>
    <w:rsid w:val="005D0C58"/>
    <w:rsid w:val="00682D5C"/>
    <w:rsid w:val="00794908"/>
    <w:rsid w:val="007B78C4"/>
    <w:rsid w:val="007D722C"/>
    <w:rsid w:val="0080387C"/>
    <w:rsid w:val="00835F3C"/>
    <w:rsid w:val="0084134F"/>
    <w:rsid w:val="008B6417"/>
    <w:rsid w:val="009709B3"/>
    <w:rsid w:val="009D43EF"/>
    <w:rsid w:val="009E3539"/>
    <w:rsid w:val="009F4D89"/>
    <w:rsid w:val="00A11F31"/>
    <w:rsid w:val="00A31F70"/>
    <w:rsid w:val="00A34504"/>
    <w:rsid w:val="00A3495B"/>
    <w:rsid w:val="00A41B65"/>
    <w:rsid w:val="00A45414"/>
    <w:rsid w:val="00A81CC9"/>
    <w:rsid w:val="00A84B85"/>
    <w:rsid w:val="00AA1A2C"/>
    <w:rsid w:val="00AA2721"/>
    <w:rsid w:val="00AB09EA"/>
    <w:rsid w:val="00AC11ED"/>
    <w:rsid w:val="00B163E6"/>
    <w:rsid w:val="00B563C5"/>
    <w:rsid w:val="00B6624C"/>
    <w:rsid w:val="00B74612"/>
    <w:rsid w:val="00BE3512"/>
    <w:rsid w:val="00BE3753"/>
    <w:rsid w:val="00BF353E"/>
    <w:rsid w:val="00C10BBC"/>
    <w:rsid w:val="00C2551B"/>
    <w:rsid w:val="00C75EE6"/>
    <w:rsid w:val="00C830AB"/>
    <w:rsid w:val="00CB59F2"/>
    <w:rsid w:val="00CF2A46"/>
    <w:rsid w:val="00D06C84"/>
    <w:rsid w:val="00D07BE6"/>
    <w:rsid w:val="00D15274"/>
    <w:rsid w:val="00D245F9"/>
    <w:rsid w:val="00D33A5D"/>
    <w:rsid w:val="00D46532"/>
    <w:rsid w:val="00D559AE"/>
    <w:rsid w:val="00DC1877"/>
    <w:rsid w:val="00DF1E92"/>
    <w:rsid w:val="00DF7BA7"/>
    <w:rsid w:val="00E00FDB"/>
    <w:rsid w:val="00E508E0"/>
    <w:rsid w:val="00E71D93"/>
    <w:rsid w:val="00F71564"/>
    <w:rsid w:val="00F7251A"/>
    <w:rsid w:val="00F80FB7"/>
    <w:rsid w:val="00FB4760"/>
    <w:rsid w:val="00FD4D7E"/>
    <w:rsid w:val="00FF3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F1A6"/>
  <w15:chartTrackingRefBased/>
  <w15:docId w15:val="{7C569970-7FDB-449D-8073-D7657EC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2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274"/>
  </w:style>
  <w:style w:type="paragraph" w:styleId="Pidipagina">
    <w:name w:val="footer"/>
    <w:basedOn w:val="Normale"/>
    <w:link w:val="PidipaginaCarattere"/>
    <w:uiPriority w:val="99"/>
    <w:unhideWhenUsed/>
    <w:rsid w:val="00D152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274"/>
  </w:style>
  <w:style w:type="character" w:styleId="Collegamentoipertestuale">
    <w:name w:val="Hyperlink"/>
    <w:basedOn w:val="Carpredefinitoparagrafo"/>
    <w:uiPriority w:val="99"/>
    <w:unhideWhenUsed/>
    <w:rsid w:val="00D15274"/>
    <w:rPr>
      <w:color w:val="0563C1" w:themeColor="hyperlink"/>
      <w:u w:val="single"/>
    </w:rPr>
  </w:style>
  <w:style w:type="character" w:styleId="Menzionenonrisolta">
    <w:name w:val="Unresolved Mention"/>
    <w:basedOn w:val="Carpredefinitoparagrafo"/>
    <w:uiPriority w:val="99"/>
    <w:semiHidden/>
    <w:unhideWhenUsed/>
    <w:rsid w:val="00D1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m.ricostruzionesisma2016@pec.gover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E365-6A98-4755-90C6-F3F7D139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cp:keywords/>
  <dc:description/>
  <cp:lastModifiedBy>mario sensini</cp:lastModifiedBy>
  <cp:revision>2</cp:revision>
  <dcterms:created xsi:type="dcterms:W3CDTF">2020-11-02T15:39:00Z</dcterms:created>
  <dcterms:modified xsi:type="dcterms:W3CDTF">2020-11-02T15:39:00Z</dcterms:modified>
</cp:coreProperties>
</file>