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5E5C" w14:textId="77777777" w:rsidR="00621E7D" w:rsidRDefault="00621E7D" w:rsidP="00621E7D">
      <w:pPr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8F493C2" w14:textId="77777777" w:rsidR="00621E7D" w:rsidRDefault="00621E7D" w:rsidP="00621E7D">
      <w:pPr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9D57D59" w14:textId="77777777" w:rsidR="00057AF9" w:rsidRPr="00057AF9" w:rsidRDefault="00057AF9" w:rsidP="00057AF9">
      <w:pPr>
        <w:spacing w:after="0"/>
        <w:ind w:right="-1"/>
        <w:jc w:val="both"/>
        <w:rPr>
          <w:rFonts w:ascii="Times New Roman" w:hAnsi="Times New Roman"/>
          <w:lang w:val="en-US"/>
        </w:rPr>
      </w:pPr>
    </w:p>
    <w:p w14:paraId="6E36B38B" w14:textId="77777777" w:rsidR="00057AF9" w:rsidRPr="00057AF9" w:rsidRDefault="00057AF9" w:rsidP="00057AF9">
      <w:pPr>
        <w:spacing w:after="0"/>
        <w:ind w:left="4956" w:right="-1" w:firstLine="708"/>
        <w:jc w:val="both"/>
        <w:rPr>
          <w:rFonts w:ascii="Times New Roman" w:hAnsi="Times New Roman"/>
        </w:rPr>
      </w:pPr>
      <w:r w:rsidRPr="00057AF9">
        <w:rPr>
          <w:rFonts w:ascii="Times New Roman" w:hAnsi="Times New Roman"/>
        </w:rPr>
        <w:t>Ill.mo Commissario straordinario</w:t>
      </w:r>
    </w:p>
    <w:p w14:paraId="4392D122" w14:textId="77777777" w:rsidR="00057AF9" w:rsidRPr="00057AF9" w:rsidRDefault="00057AF9" w:rsidP="00057AF9">
      <w:pPr>
        <w:spacing w:after="0"/>
        <w:ind w:left="4956" w:right="-1" w:firstLine="708"/>
        <w:jc w:val="both"/>
        <w:rPr>
          <w:rFonts w:ascii="Times New Roman" w:hAnsi="Times New Roman"/>
        </w:rPr>
      </w:pPr>
      <w:r w:rsidRPr="00057AF9">
        <w:rPr>
          <w:rFonts w:ascii="Times New Roman" w:hAnsi="Times New Roman"/>
        </w:rPr>
        <w:t>On. Avv. Giovanni Legnini</w:t>
      </w:r>
    </w:p>
    <w:p w14:paraId="726DE615" w14:textId="77777777" w:rsidR="00057AF9" w:rsidRPr="00057AF9" w:rsidRDefault="00057AF9" w:rsidP="00057AF9">
      <w:pPr>
        <w:spacing w:after="0"/>
        <w:ind w:right="-1"/>
        <w:jc w:val="both"/>
        <w:rPr>
          <w:rFonts w:ascii="Times New Roman" w:eastAsia="Times New Roman" w:hAnsi="Times New Roman"/>
          <w:szCs w:val="12"/>
          <w:lang w:eastAsia="it-IT"/>
        </w:rPr>
      </w:pPr>
    </w:p>
    <w:p w14:paraId="7D20A092" w14:textId="77777777" w:rsidR="00057AF9" w:rsidRPr="008A533B" w:rsidRDefault="00057AF9" w:rsidP="00057AF9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BD056F" w14:textId="1475C95C" w:rsidR="00067D24" w:rsidRPr="00466D34" w:rsidRDefault="00057AF9" w:rsidP="00067D24">
      <w:pPr>
        <w:rPr>
          <w:rFonts w:ascii="Times New Roman" w:hAnsi="Times New Roman"/>
          <w:sz w:val="24"/>
          <w:szCs w:val="24"/>
        </w:rPr>
      </w:pPr>
      <w:r w:rsidRPr="008A533B">
        <w:rPr>
          <w:rFonts w:ascii="Times New Roman" w:eastAsia="Times New Roman" w:hAnsi="Times New Roman"/>
          <w:b/>
          <w:sz w:val="24"/>
          <w:szCs w:val="24"/>
          <w:lang w:eastAsia="it-IT"/>
        </w:rPr>
        <w:t>Oggetto</w:t>
      </w:r>
      <w:r w:rsidRPr="008A533B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Pr="008A533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67D24" w:rsidRPr="00466D34">
        <w:rPr>
          <w:rFonts w:ascii="Times New Roman" w:hAnsi="Times New Roman"/>
          <w:sz w:val="24"/>
          <w:szCs w:val="24"/>
        </w:rPr>
        <w:t xml:space="preserve">Parere in merito alla domanda di contributo </w:t>
      </w:r>
      <w:r w:rsidR="00166C93">
        <w:rPr>
          <w:rFonts w:ascii="Times New Roman" w:hAnsi="Times New Roman"/>
          <w:sz w:val="24"/>
          <w:szCs w:val="24"/>
        </w:rPr>
        <w:t xml:space="preserve">per la </w:t>
      </w:r>
      <w:r w:rsidR="00067D24" w:rsidRPr="00466D34">
        <w:rPr>
          <w:rFonts w:ascii="Times New Roman" w:hAnsi="Times New Roman"/>
          <w:sz w:val="24"/>
          <w:szCs w:val="24"/>
        </w:rPr>
        <w:t>ricostruzione</w:t>
      </w:r>
      <w:r w:rsidR="008151C4">
        <w:rPr>
          <w:rFonts w:ascii="Times New Roman" w:hAnsi="Times New Roman"/>
          <w:sz w:val="24"/>
          <w:szCs w:val="24"/>
        </w:rPr>
        <w:t xml:space="preserve"> de</w:t>
      </w:r>
      <w:r w:rsidR="00067D24" w:rsidRPr="00466D34">
        <w:rPr>
          <w:rFonts w:ascii="Times New Roman" w:hAnsi="Times New Roman"/>
          <w:sz w:val="24"/>
          <w:szCs w:val="24"/>
        </w:rPr>
        <w:t>gli immobili compresi nelle perimetrazioni approvate ai fini dei piani attuativi.</w:t>
      </w:r>
    </w:p>
    <w:p w14:paraId="59867207" w14:textId="77777777" w:rsidR="00067D24" w:rsidRPr="00466D34" w:rsidRDefault="00067D24" w:rsidP="00067D24">
      <w:pPr>
        <w:rPr>
          <w:rFonts w:ascii="Times New Roman" w:hAnsi="Times New Roman"/>
          <w:sz w:val="24"/>
          <w:szCs w:val="24"/>
        </w:rPr>
      </w:pPr>
    </w:p>
    <w:p w14:paraId="15D1564E" w14:textId="1B0306C3" w:rsidR="00067D24" w:rsidRPr="00466D34" w:rsidRDefault="00067D24" w:rsidP="00067D24">
      <w:pPr>
        <w:pStyle w:val="Default"/>
      </w:pPr>
      <w:r w:rsidRPr="00466D34">
        <w:t xml:space="preserve">Rispondendo al quesito posto si chiarisce che, come disposto dall’art 5, primo comma, dell’ordinanza 107/2020 </w:t>
      </w:r>
      <w:r w:rsidRPr="00466D34">
        <w:rPr>
          <w:i/>
          <w:iCs/>
          <w:color w:val="000009"/>
        </w:rPr>
        <w:t xml:space="preserve">“gli interventi di ricostruzione privata sui singoli edifici sono immediatamente attuabili e non sono condizionati dalla previa approvazione dei piani attuativi, o comunque denominati, salvo i casi di delocalizzazione che richiedono varianti urbanistiche o la preventiva definizione di aggregati strutturali, ove non presenti nella domanda”, </w:t>
      </w:r>
      <w:r w:rsidR="00FF6F2B">
        <w:rPr>
          <w:color w:val="000009"/>
        </w:rPr>
        <w:t xml:space="preserve">e </w:t>
      </w:r>
      <w:r w:rsidR="00A81075">
        <w:rPr>
          <w:color w:val="000009"/>
        </w:rPr>
        <w:t xml:space="preserve">ciò </w:t>
      </w:r>
      <w:r w:rsidRPr="00466D34">
        <w:rPr>
          <w:color w:val="000009"/>
        </w:rPr>
        <w:t>con la disciplina edilizia prevista dall’art.12, comma 2 del decreto legge 189/2016 nel testo novellato dal decreto legge 76/2020, convertito con modificazioni dalla legge 11 settembre 2020, n 120.</w:t>
      </w:r>
    </w:p>
    <w:p w14:paraId="1AE8A70F" w14:textId="77777777" w:rsidR="00067D24" w:rsidRPr="00466D34" w:rsidRDefault="00067D24" w:rsidP="00067D24">
      <w:pPr>
        <w:rPr>
          <w:rFonts w:ascii="Times New Roman" w:hAnsi="Times New Roman"/>
          <w:sz w:val="24"/>
          <w:szCs w:val="24"/>
        </w:rPr>
      </w:pPr>
      <w:r w:rsidRPr="00466D34">
        <w:rPr>
          <w:rFonts w:ascii="Times New Roman" w:hAnsi="Times New Roman"/>
          <w:sz w:val="24"/>
          <w:szCs w:val="24"/>
        </w:rPr>
        <w:t>Pertanto, il divieto stabilito dall’art.5, comma 4 dell’ordinanza 25/2017, che impediva l’esecuzione dell’intervento prima dell’approvazione dei piani attuativi, è da ritenersi abrogato.</w:t>
      </w:r>
    </w:p>
    <w:p w14:paraId="6A5DB12E" w14:textId="77777777" w:rsidR="00067D24" w:rsidRDefault="00067D24" w:rsidP="00067D24">
      <w:pPr>
        <w:rPr>
          <w:rFonts w:ascii="Times New Roman" w:hAnsi="Times New Roman"/>
          <w:sz w:val="24"/>
          <w:szCs w:val="24"/>
        </w:rPr>
      </w:pPr>
      <w:r w:rsidRPr="00466D34">
        <w:rPr>
          <w:rFonts w:ascii="Times New Roman" w:hAnsi="Times New Roman"/>
          <w:sz w:val="24"/>
          <w:szCs w:val="24"/>
        </w:rPr>
        <w:t xml:space="preserve">Occorre altresì precisare che anche anteriormente a detta abrogazione, ossia in vigenza dell’ordinanza 25/2017, in alcun modo era da ritenersi vietata la presentazione della domanda per gli interventi di riparazione/ricostruzione “conformi” agli edifici preesistenti: un tale divieto, infatti, </w:t>
      </w:r>
      <w:r>
        <w:rPr>
          <w:rFonts w:ascii="Times New Roman" w:hAnsi="Times New Roman"/>
          <w:sz w:val="24"/>
          <w:szCs w:val="24"/>
        </w:rPr>
        <w:t>non risulta in alcuna norma di legge o di ordinanza e deriva solo dall’interpretazione, in via presuntiva, di una possibile eventuale delocalizzazione dell’edificio stabilita dal futuro piano attuativo.</w:t>
      </w:r>
    </w:p>
    <w:p w14:paraId="27631D89" w14:textId="2B0CB939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Peraltro, una tale interpretazione dei piani attuativi risulterebbe sorretta dall’idea di una pianificazione </w:t>
      </w:r>
      <w:r w:rsidRPr="0062285C">
        <w:rPr>
          <w:rFonts w:ascii="Times New Roman" w:hAnsi="Times New Roman"/>
          <w:i/>
          <w:iCs/>
          <w:sz w:val="24"/>
          <w:szCs w:val="24"/>
        </w:rPr>
        <w:t>ex novo</w:t>
      </w:r>
      <w:r>
        <w:rPr>
          <w:rFonts w:ascii="Times New Roman" w:hAnsi="Times New Roman"/>
          <w:sz w:val="24"/>
          <w:szCs w:val="24"/>
        </w:rPr>
        <w:t xml:space="preserve"> del disegno urbano dei centri storici, secondo una logica propria </w:t>
      </w:r>
      <w:r w:rsidR="0057640A">
        <w:rPr>
          <w:rFonts w:ascii="Times New Roman" w:hAnsi="Times New Roman"/>
          <w:sz w:val="24"/>
          <w:szCs w:val="24"/>
        </w:rPr>
        <w:t xml:space="preserve">dell’urbanistica di tradizione che </w:t>
      </w:r>
      <w:r>
        <w:rPr>
          <w:rFonts w:ascii="Times New Roman" w:hAnsi="Times New Roman"/>
          <w:sz w:val="24"/>
          <w:szCs w:val="24"/>
        </w:rPr>
        <w:t>disciplina i rapporti tra nuova collocazione degli edifici nello spazio – territorio e non già d</w:t>
      </w:r>
      <w:r w:rsidR="009660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lla logica della “ricostruzione”, </w:t>
      </w:r>
      <w:r w:rsidR="000C318C">
        <w:rPr>
          <w:rFonts w:ascii="Times New Roman" w:hAnsi="Times New Roman"/>
          <w:sz w:val="24"/>
          <w:szCs w:val="24"/>
        </w:rPr>
        <w:t xml:space="preserve">ossia </w:t>
      </w:r>
      <w:r>
        <w:rPr>
          <w:rFonts w:ascii="Times New Roman" w:hAnsi="Times New Roman"/>
          <w:sz w:val="24"/>
          <w:szCs w:val="24"/>
        </w:rPr>
        <w:t>secondo una filosofia in alcun modo presente nella legislazione speciale del sisma che non è ispirata alla costruzione di nuovi tessuti urbani ma alla ricostruzione di quelli esistenti, con un più alto grado di efficienza sismica ed energetica.</w:t>
      </w:r>
    </w:p>
    <w:p w14:paraId="2070D2DC" w14:textId="4D006D16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Neppure rilevano ragioni di sicurezza poiché anche gli interventi “conformi” realizzati con SCIA devono basarsi sui presupposti delle indagini sismo</w:t>
      </w:r>
      <w:r w:rsidR="003F3A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geognostiche.</w:t>
      </w:r>
    </w:p>
    <w:p w14:paraId="2355FD58" w14:textId="6F9F43DC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L’abrogazione del divieto contenuto nell’art.5, comma 4 dell’ordinanza 25/2017 è inoltre dettata da ragioni pratiche e di sostenibilità amministrativa degli interventi poiché se tutti gli interventi  nelle aree perimetrate</w:t>
      </w:r>
      <w:r w:rsidR="003F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fini dell’approvazione dei piani attuativ</w:t>
      </w:r>
      <w:r w:rsidR="0088070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fossero vietati</w:t>
      </w:r>
      <w:r w:rsidR="008807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attesa dell’approvazione dei piani attuativi</w:t>
      </w:r>
      <w:r w:rsidR="00337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sarebbe  proprio la mancata approvazione di questi ultimi la </w:t>
      </w:r>
      <w:r>
        <w:rPr>
          <w:rFonts w:ascii="Times New Roman" w:hAnsi="Times New Roman"/>
          <w:sz w:val="24"/>
          <w:szCs w:val="24"/>
        </w:rPr>
        <w:lastRenderedPageBreak/>
        <w:t xml:space="preserve">vera causa “del blocco della ricostruzione” ove si pensi che, a distanza di anni, solo pochissimi comuni hanno piani attuativi </w:t>
      </w:r>
      <w:r w:rsidRPr="00A07979">
        <w:rPr>
          <w:rFonts w:ascii="Times New Roman" w:hAnsi="Times New Roman"/>
          <w:i/>
          <w:iCs/>
          <w:sz w:val="24"/>
          <w:szCs w:val="24"/>
        </w:rPr>
        <w:t>in itinere</w:t>
      </w:r>
      <w:r>
        <w:rPr>
          <w:rFonts w:ascii="Times New Roman" w:hAnsi="Times New Roman"/>
          <w:sz w:val="24"/>
          <w:szCs w:val="24"/>
        </w:rPr>
        <w:t xml:space="preserve"> e neppure approvati.</w:t>
      </w:r>
    </w:p>
    <w:p w14:paraId="34E4CE05" w14:textId="77777777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in assenza dei piani attuativi non si può ricostruire e se i piani attuativi sono ben lungi dall’essere adottati o approvati, la responsabilità dovrebbe evidentemente gravare sui comuni e sulle regole dettate per la ricostruzione che, di fatto, la impediscono.</w:t>
      </w:r>
    </w:p>
    <w:p w14:paraId="48C0605F" w14:textId="77777777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l’ordinanza 107/2020 si è inteso affrontare questa situazione di “stallo” consentendo gli interventi edilizi conformi al preesistente senza in alcun modo pregiudicare il prosieguo e l’accelerazione degli strumenti urbanistici avviati.</w:t>
      </w:r>
    </w:p>
    <w:p w14:paraId="173DEC17" w14:textId="77777777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 comuni maggiormente colpiti, di cui all’ordinanza 101/2020, si è consentita l’adozione dei Programmi Straordinari di Ricostruzione come strumento per una programmazione ordinata, con nuove opportunità.</w:t>
      </w:r>
    </w:p>
    <w:p w14:paraId="3D96DE16" w14:textId="77777777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pertanto erronea la tesi, affacciata in qualche misura nel quesito, secondo cui l’ordinanza 107/2020 avrebbe “cancellato le perimetrazioni approvate” che invece restano vigenti ai fini previsti dall’art. 5 del decreto legge 189/2016. È parimenti erronea la tesi secondo cui le perimetrazioni abbiano un “valore ostativo ai fini della presentazione della domanda di contributo alla ricostruzione”. </w:t>
      </w:r>
    </w:p>
    <w:p w14:paraId="5FD2C084" w14:textId="24277B2F" w:rsidR="00067D24" w:rsidRDefault="00067D24" w:rsidP="00067D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nuova “legge della ricostruzione” è quella scolpita dall’art.12, secondo comma</w:t>
      </w:r>
      <w:r w:rsidR="00E805C5">
        <w:rPr>
          <w:rFonts w:ascii="Times New Roman" w:hAnsi="Times New Roman"/>
          <w:sz w:val="24"/>
          <w:szCs w:val="24"/>
        </w:rPr>
        <w:t>,</w:t>
      </w:r>
      <w:r w:rsidR="00052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decreto legge 189/2016 per quanto riguarda gli interventi conformi agli edifici preesistenti: per gli interventi nuovi potrà il piano urbanistico o il PSR dettare i propri indirizzi, adeguandosi ai principi di legge intervenuti.</w:t>
      </w:r>
    </w:p>
    <w:p w14:paraId="1FB061E0" w14:textId="55C9EB92" w:rsidR="008A533B" w:rsidRPr="008A533B" w:rsidRDefault="00067D24" w:rsidP="00DF4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Ciò premesso, si può riconoscere, sul piano dell’opportunità, che l’erronea e diffusa interpretazione data ed il cambiamento normativo intervenuto possano giustificare i ritardi nella presentazione delle domande e dei progetti sebbene tale giustificazione debba intendersi per il passato e non già per i</w:t>
      </w:r>
      <w:r w:rsidR="00DF48DD">
        <w:rPr>
          <w:rFonts w:ascii="Times New Roman" w:hAnsi="Times New Roman"/>
          <w:sz w:val="24"/>
          <w:szCs w:val="24"/>
        </w:rPr>
        <w:t>l presente e per il futuro.</w:t>
      </w:r>
    </w:p>
    <w:p w14:paraId="4CA79E53" w14:textId="77777777" w:rsidR="008A533B" w:rsidRPr="008A533B" w:rsidRDefault="008A533B" w:rsidP="008A533B">
      <w:pPr>
        <w:pStyle w:val="Default"/>
        <w:spacing w:line="360" w:lineRule="auto"/>
        <w:ind w:left="4820"/>
        <w:jc w:val="center"/>
        <w:rPr>
          <w:b/>
          <w:bCs/>
          <w:snapToGrid w:val="0"/>
        </w:rPr>
      </w:pPr>
      <w:r w:rsidRPr="008A533B">
        <w:rPr>
          <w:b/>
          <w:bCs/>
          <w:snapToGrid w:val="0"/>
        </w:rPr>
        <w:t>Il Consigliere giuridico</w:t>
      </w:r>
    </w:p>
    <w:p w14:paraId="5571A8B9" w14:textId="77777777" w:rsidR="008A533B" w:rsidRPr="008A533B" w:rsidRDefault="008A533B" w:rsidP="008A533B">
      <w:pPr>
        <w:pStyle w:val="Default"/>
        <w:spacing w:line="360" w:lineRule="auto"/>
        <w:ind w:left="4820"/>
        <w:jc w:val="center"/>
        <w:rPr>
          <w:b/>
          <w:bCs/>
          <w:snapToGrid w:val="0"/>
        </w:rPr>
      </w:pPr>
      <w:r w:rsidRPr="008A533B">
        <w:rPr>
          <w:b/>
          <w:bCs/>
          <w:snapToGrid w:val="0"/>
        </w:rPr>
        <w:t>Prof. Avv. Pierluigi Mantini</w:t>
      </w:r>
    </w:p>
    <w:p w14:paraId="0462A17E" w14:textId="77777777" w:rsidR="00862E8D" w:rsidRPr="00862E8D" w:rsidRDefault="00862E8D">
      <w:pPr>
        <w:rPr>
          <w:rFonts w:ascii="Times New Roman" w:hAnsi="Times New Roman"/>
          <w:i/>
          <w:snapToGrid w:val="0"/>
          <w:color w:val="000000"/>
          <w:sz w:val="18"/>
          <w:szCs w:val="18"/>
        </w:rPr>
      </w:pPr>
    </w:p>
    <w:sectPr w:rsidR="00862E8D" w:rsidRPr="00862E8D" w:rsidSect="0045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9" w:right="1134" w:bottom="1559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55993" w14:textId="77777777" w:rsidR="00347368" w:rsidRDefault="00347368" w:rsidP="004A6CD8">
      <w:pPr>
        <w:spacing w:after="0" w:line="240" w:lineRule="auto"/>
      </w:pPr>
      <w:r>
        <w:separator/>
      </w:r>
    </w:p>
  </w:endnote>
  <w:endnote w:type="continuationSeparator" w:id="0">
    <w:p w14:paraId="708DE9C9" w14:textId="77777777" w:rsidR="00347368" w:rsidRDefault="00347368" w:rsidP="004A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0629" w14:textId="77777777" w:rsidR="008E69FB" w:rsidRDefault="005C7343" w:rsidP="00F9621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69FB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A051ECD" w14:textId="77777777" w:rsidR="008E69FB" w:rsidRDefault="008E69FB" w:rsidP="008E69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88D1" w14:textId="77777777" w:rsidR="008E69FB" w:rsidRDefault="008E69FB" w:rsidP="00940CFC">
    <w:pPr>
      <w:pStyle w:val="Pidipagina"/>
      <w:rPr>
        <w:rStyle w:val="Numeropagina"/>
      </w:rPr>
    </w:pPr>
  </w:p>
  <w:p w14:paraId="5CBBB58F" w14:textId="77777777" w:rsidR="004E5DB5" w:rsidRDefault="00FE37DE" w:rsidP="008E69FB">
    <w:pPr>
      <w:pStyle w:val="Pidipagin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F9815D" wp14:editId="69E4B4A2">
          <wp:simplePos x="0" y="0"/>
          <wp:positionH relativeFrom="page">
            <wp:posOffset>0</wp:posOffset>
          </wp:positionH>
          <wp:positionV relativeFrom="page">
            <wp:posOffset>9728200</wp:posOffset>
          </wp:positionV>
          <wp:extent cx="7635875" cy="782955"/>
          <wp:effectExtent l="0" t="0" r="0" b="0"/>
          <wp:wrapNone/>
          <wp:docPr id="3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10917" w14:textId="77777777" w:rsidR="007B0DF6" w:rsidRPr="00E310F4" w:rsidRDefault="007B0DF6" w:rsidP="00E310F4">
    <w:pPr>
      <w:pStyle w:val="Pidipa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FEF6" w14:textId="77777777" w:rsidR="002C0CFC" w:rsidRDefault="00FE37DE">
    <w:pPr>
      <w:pStyle w:val="Pidipa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7012A4" wp14:editId="0E880954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63485" cy="813435"/>
          <wp:effectExtent l="0" t="0" r="0" b="0"/>
          <wp:wrapNone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B7E5" w14:textId="77777777" w:rsidR="00347368" w:rsidRDefault="00347368" w:rsidP="004A6CD8">
      <w:pPr>
        <w:spacing w:after="0" w:line="240" w:lineRule="auto"/>
      </w:pPr>
      <w:r>
        <w:separator/>
      </w:r>
    </w:p>
  </w:footnote>
  <w:footnote w:type="continuationSeparator" w:id="0">
    <w:p w14:paraId="22BF113B" w14:textId="77777777" w:rsidR="00347368" w:rsidRDefault="00347368" w:rsidP="004A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7044" w14:textId="77777777" w:rsidR="00940CFC" w:rsidRDefault="00940C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F0B9" w14:textId="77777777" w:rsidR="007E2316" w:rsidRDefault="00FE37D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BC70A" wp14:editId="425F9590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60310" cy="1689735"/>
          <wp:effectExtent l="0" t="0" r="0" b="0"/>
          <wp:wrapNone/>
          <wp:docPr id="4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8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3D0A" w14:textId="77777777" w:rsidR="00135FEC" w:rsidRPr="00577D7B" w:rsidRDefault="00FE37DE" w:rsidP="00577D7B">
    <w:pPr>
      <w:spacing w:after="0" w:line="240" w:lineRule="auto"/>
      <w:ind w:right="-1"/>
      <w:rPr>
        <w:rFonts w:ascii="Palace Script MT" w:hAnsi="Palace Script MT" w:cs="Palace Script MT"/>
        <w:i/>
        <w:iCs/>
        <w:spacing w:val="20"/>
        <w:sz w:val="16"/>
        <w:szCs w:val="16"/>
      </w:rPr>
    </w:pPr>
    <w:r>
      <w:rPr>
        <w:rFonts w:ascii="Palace Script MT" w:hAnsi="Palace Script MT" w:cs="Palace Script MT"/>
        <w:i/>
        <w:iCs/>
        <w:noProof/>
        <w:spacing w:val="20"/>
        <w:sz w:val="16"/>
        <w:szCs w:val="16"/>
      </w:rPr>
      <w:drawing>
        <wp:anchor distT="0" distB="0" distL="114300" distR="114300" simplePos="0" relativeHeight="251656192" behindDoc="1" locked="0" layoutInCell="1" allowOverlap="1" wp14:anchorId="05F2A19E" wp14:editId="482EDA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703070"/>
          <wp:effectExtent l="0" t="0" r="0" b="0"/>
          <wp:wrapNone/>
          <wp:docPr id="2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0860"/>
    <w:multiLevelType w:val="hybridMultilevel"/>
    <w:tmpl w:val="E18E9A64"/>
    <w:lvl w:ilvl="0" w:tplc="D7EE495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283091"/>
    <w:multiLevelType w:val="hybridMultilevel"/>
    <w:tmpl w:val="C2B8A728"/>
    <w:lvl w:ilvl="0" w:tplc="D7EE4956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282A34"/>
    <w:multiLevelType w:val="hybridMultilevel"/>
    <w:tmpl w:val="6CE281BE"/>
    <w:lvl w:ilvl="0" w:tplc="67DCFB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C0B"/>
    <w:multiLevelType w:val="hybridMultilevel"/>
    <w:tmpl w:val="C2DC0166"/>
    <w:lvl w:ilvl="0" w:tplc="D7EE49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013"/>
    <w:multiLevelType w:val="hybridMultilevel"/>
    <w:tmpl w:val="123E289A"/>
    <w:lvl w:ilvl="0" w:tplc="72A8234A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E4"/>
    <w:rsid w:val="00002B56"/>
    <w:rsid w:val="00005E4E"/>
    <w:rsid w:val="00006B07"/>
    <w:rsid w:val="00006FBF"/>
    <w:rsid w:val="000137AA"/>
    <w:rsid w:val="000329C0"/>
    <w:rsid w:val="00041A10"/>
    <w:rsid w:val="00044B9D"/>
    <w:rsid w:val="00046D1A"/>
    <w:rsid w:val="000474F4"/>
    <w:rsid w:val="00052680"/>
    <w:rsid w:val="00057AF9"/>
    <w:rsid w:val="00061A8E"/>
    <w:rsid w:val="00067D24"/>
    <w:rsid w:val="00071854"/>
    <w:rsid w:val="0007433A"/>
    <w:rsid w:val="0008276C"/>
    <w:rsid w:val="000A0489"/>
    <w:rsid w:val="000C318C"/>
    <w:rsid w:val="000C524F"/>
    <w:rsid w:val="000C5B50"/>
    <w:rsid w:val="000D1E3B"/>
    <w:rsid w:val="000D5944"/>
    <w:rsid w:val="000D61AB"/>
    <w:rsid w:val="000D756A"/>
    <w:rsid w:val="000F05AF"/>
    <w:rsid w:val="000F0B92"/>
    <w:rsid w:val="000F2001"/>
    <w:rsid w:val="00105AA0"/>
    <w:rsid w:val="00113D4E"/>
    <w:rsid w:val="00135FEC"/>
    <w:rsid w:val="00142CD2"/>
    <w:rsid w:val="001470D4"/>
    <w:rsid w:val="0015004C"/>
    <w:rsid w:val="001501E1"/>
    <w:rsid w:val="00151439"/>
    <w:rsid w:val="00157BE6"/>
    <w:rsid w:val="00160489"/>
    <w:rsid w:val="00166C93"/>
    <w:rsid w:val="0018489E"/>
    <w:rsid w:val="001853C7"/>
    <w:rsid w:val="001A0732"/>
    <w:rsid w:val="001A3E6F"/>
    <w:rsid w:val="001A5BF8"/>
    <w:rsid w:val="001B3C97"/>
    <w:rsid w:val="001C28B2"/>
    <w:rsid w:val="001C6CF9"/>
    <w:rsid w:val="001D52A3"/>
    <w:rsid w:val="001D6507"/>
    <w:rsid w:val="001D6A62"/>
    <w:rsid w:val="001E0FAE"/>
    <w:rsid w:val="001E3087"/>
    <w:rsid w:val="002076F5"/>
    <w:rsid w:val="002417E9"/>
    <w:rsid w:val="0025042B"/>
    <w:rsid w:val="00270FEF"/>
    <w:rsid w:val="00273912"/>
    <w:rsid w:val="0028091E"/>
    <w:rsid w:val="00283FBA"/>
    <w:rsid w:val="00285880"/>
    <w:rsid w:val="00292B5A"/>
    <w:rsid w:val="00292D9F"/>
    <w:rsid w:val="002A141F"/>
    <w:rsid w:val="002C0363"/>
    <w:rsid w:val="002C0CFC"/>
    <w:rsid w:val="002C11A5"/>
    <w:rsid w:val="002D144A"/>
    <w:rsid w:val="002E28B3"/>
    <w:rsid w:val="002F6F2B"/>
    <w:rsid w:val="003009C9"/>
    <w:rsid w:val="003027D6"/>
    <w:rsid w:val="003031CE"/>
    <w:rsid w:val="00314CFE"/>
    <w:rsid w:val="00316772"/>
    <w:rsid w:val="003216B7"/>
    <w:rsid w:val="003266C1"/>
    <w:rsid w:val="00334E10"/>
    <w:rsid w:val="003372F2"/>
    <w:rsid w:val="00347368"/>
    <w:rsid w:val="00355B1A"/>
    <w:rsid w:val="00360F03"/>
    <w:rsid w:val="0036770A"/>
    <w:rsid w:val="00373E9D"/>
    <w:rsid w:val="00386682"/>
    <w:rsid w:val="003928BD"/>
    <w:rsid w:val="00395811"/>
    <w:rsid w:val="003A0550"/>
    <w:rsid w:val="003A31EA"/>
    <w:rsid w:val="003A374E"/>
    <w:rsid w:val="003C0B68"/>
    <w:rsid w:val="003C15D3"/>
    <w:rsid w:val="003C69B9"/>
    <w:rsid w:val="003F1D53"/>
    <w:rsid w:val="003F3A0D"/>
    <w:rsid w:val="00430A2D"/>
    <w:rsid w:val="00431B1B"/>
    <w:rsid w:val="00437753"/>
    <w:rsid w:val="00445813"/>
    <w:rsid w:val="00446ECD"/>
    <w:rsid w:val="004470D4"/>
    <w:rsid w:val="00450334"/>
    <w:rsid w:val="00451A25"/>
    <w:rsid w:val="00453204"/>
    <w:rsid w:val="00464707"/>
    <w:rsid w:val="0048308D"/>
    <w:rsid w:val="00485EE8"/>
    <w:rsid w:val="004A1206"/>
    <w:rsid w:val="004A6CD8"/>
    <w:rsid w:val="004B0FEE"/>
    <w:rsid w:val="004B16A9"/>
    <w:rsid w:val="004B4C34"/>
    <w:rsid w:val="004B5743"/>
    <w:rsid w:val="004E3B2A"/>
    <w:rsid w:val="004E5DB5"/>
    <w:rsid w:val="004F057C"/>
    <w:rsid w:val="004F3233"/>
    <w:rsid w:val="00500EEC"/>
    <w:rsid w:val="00504F38"/>
    <w:rsid w:val="00530785"/>
    <w:rsid w:val="005439E5"/>
    <w:rsid w:val="005518C1"/>
    <w:rsid w:val="0057640A"/>
    <w:rsid w:val="00576D1F"/>
    <w:rsid w:val="00577D7B"/>
    <w:rsid w:val="00581122"/>
    <w:rsid w:val="00591A3E"/>
    <w:rsid w:val="005A50A9"/>
    <w:rsid w:val="005C7343"/>
    <w:rsid w:val="005D5858"/>
    <w:rsid w:val="005E1608"/>
    <w:rsid w:val="005F198A"/>
    <w:rsid w:val="0061246E"/>
    <w:rsid w:val="006172F2"/>
    <w:rsid w:val="00621E7D"/>
    <w:rsid w:val="006268AB"/>
    <w:rsid w:val="00627182"/>
    <w:rsid w:val="00642DFA"/>
    <w:rsid w:val="00651AB3"/>
    <w:rsid w:val="00660486"/>
    <w:rsid w:val="00664183"/>
    <w:rsid w:val="00666723"/>
    <w:rsid w:val="00674A49"/>
    <w:rsid w:val="006777C7"/>
    <w:rsid w:val="006A0F84"/>
    <w:rsid w:val="006A736B"/>
    <w:rsid w:val="006B5606"/>
    <w:rsid w:val="006C3311"/>
    <w:rsid w:val="006C4806"/>
    <w:rsid w:val="006D20F4"/>
    <w:rsid w:val="006E4399"/>
    <w:rsid w:val="00712130"/>
    <w:rsid w:val="00723F3A"/>
    <w:rsid w:val="0076213D"/>
    <w:rsid w:val="00767CF3"/>
    <w:rsid w:val="00781DE2"/>
    <w:rsid w:val="007827AA"/>
    <w:rsid w:val="007A254F"/>
    <w:rsid w:val="007A3210"/>
    <w:rsid w:val="007A4301"/>
    <w:rsid w:val="007B0DF6"/>
    <w:rsid w:val="007C00B5"/>
    <w:rsid w:val="007C687A"/>
    <w:rsid w:val="007C72E6"/>
    <w:rsid w:val="007D4B54"/>
    <w:rsid w:val="007D782E"/>
    <w:rsid w:val="007E2316"/>
    <w:rsid w:val="007E3D43"/>
    <w:rsid w:val="007F0A35"/>
    <w:rsid w:val="007F2328"/>
    <w:rsid w:val="00813DD9"/>
    <w:rsid w:val="00814BA8"/>
    <w:rsid w:val="008151C4"/>
    <w:rsid w:val="008400FD"/>
    <w:rsid w:val="00843E3E"/>
    <w:rsid w:val="00856E7D"/>
    <w:rsid w:val="00860EA2"/>
    <w:rsid w:val="0086123F"/>
    <w:rsid w:val="00862E8D"/>
    <w:rsid w:val="00880700"/>
    <w:rsid w:val="0089057B"/>
    <w:rsid w:val="008922CB"/>
    <w:rsid w:val="008A393E"/>
    <w:rsid w:val="008A533B"/>
    <w:rsid w:val="008D0904"/>
    <w:rsid w:val="008D3FBF"/>
    <w:rsid w:val="008E0968"/>
    <w:rsid w:val="008E69FB"/>
    <w:rsid w:val="008F3AE2"/>
    <w:rsid w:val="008F4370"/>
    <w:rsid w:val="00902546"/>
    <w:rsid w:val="00906454"/>
    <w:rsid w:val="00907264"/>
    <w:rsid w:val="00914104"/>
    <w:rsid w:val="00916947"/>
    <w:rsid w:val="009407C7"/>
    <w:rsid w:val="00940CFC"/>
    <w:rsid w:val="00941FA5"/>
    <w:rsid w:val="0095239A"/>
    <w:rsid w:val="009660E1"/>
    <w:rsid w:val="009670A8"/>
    <w:rsid w:val="00991CEF"/>
    <w:rsid w:val="009A08B5"/>
    <w:rsid w:val="009A42A2"/>
    <w:rsid w:val="009B39A3"/>
    <w:rsid w:val="009D2FC7"/>
    <w:rsid w:val="00A061BD"/>
    <w:rsid w:val="00A073D2"/>
    <w:rsid w:val="00A07EAD"/>
    <w:rsid w:val="00A209B2"/>
    <w:rsid w:val="00A26201"/>
    <w:rsid w:val="00A43B5E"/>
    <w:rsid w:val="00A5002A"/>
    <w:rsid w:val="00A739E4"/>
    <w:rsid w:val="00A80D47"/>
    <w:rsid w:val="00A81075"/>
    <w:rsid w:val="00A83D03"/>
    <w:rsid w:val="00A8550A"/>
    <w:rsid w:val="00A867C3"/>
    <w:rsid w:val="00A93F6F"/>
    <w:rsid w:val="00AA4A25"/>
    <w:rsid w:val="00AC411A"/>
    <w:rsid w:val="00AE420B"/>
    <w:rsid w:val="00AE506C"/>
    <w:rsid w:val="00AF243E"/>
    <w:rsid w:val="00AF3643"/>
    <w:rsid w:val="00B205CC"/>
    <w:rsid w:val="00B2495A"/>
    <w:rsid w:val="00B25A10"/>
    <w:rsid w:val="00B30C29"/>
    <w:rsid w:val="00B40826"/>
    <w:rsid w:val="00B416D3"/>
    <w:rsid w:val="00B44240"/>
    <w:rsid w:val="00B53E95"/>
    <w:rsid w:val="00B651E3"/>
    <w:rsid w:val="00B65831"/>
    <w:rsid w:val="00BA2888"/>
    <w:rsid w:val="00BA44E1"/>
    <w:rsid w:val="00BA70BE"/>
    <w:rsid w:val="00BA78C1"/>
    <w:rsid w:val="00BD2C0D"/>
    <w:rsid w:val="00BD3A50"/>
    <w:rsid w:val="00BF24B8"/>
    <w:rsid w:val="00C00B1E"/>
    <w:rsid w:val="00C02217"/>
    <w:rsid w:val="00C21B56"/>
    <w:rsid w:val="00C304E9"/>
    <w:rsid w:val="00C454A9"/>
    <w:rsid w:val="00C46BE6"/>
    <w:rsid w:val="00C54606"/>
    <w:rsid w:val="00C60CE8"/>
    <w:rsid w:val="00C633C5"/>
    <w:rsid w:val="00C73ADA"/>
    <w:rsid w:val="00C74135"/>
    <w:rsid w:val="00C808AB"/>
    <w:rsid w:val="00C86AD7"/>
    <w:rsid w:val="00CA36FD"/>
    <w:rsid w:val="00CB04EA"/>
    <w:rsid w:val="00CD3DFF"/>
    <w:rsid w:val="00CF36D2"/>
    <w:rsid w:val="00CF6747"/>
    <w:rsid w:val="00CF6A90"/>
    <w:rsid w:val="00D0717C"/>
    <w:rsid w:val="00D13F66"/>
    <w:rsid w:val="00D1451C"/>
    <w:rsid w:val="00D16B1C"/>
    <w:rsid w:val="00D2560A"/>
    <w:rsid w:val="00D3263C"/>
    <w:rsid w:val="00D402C6"/>
    <w:rsid w:val="00D4664B"/>
    <w:rsid w:val="00D54EBB"/>
    <w:rsid w:val="00D61E85"/>
    <w:rsid w:val="00D63AEA"/>
    <w:rsid w:val="00D662A3"/>
    <w:rsid w:val="00D67C7E"/>
    <w:rsid w:val="00D84E1E"/>
    <w:rsid w:val="00DA1467"/>
    <w:rsid w:val="00DA76B5"/>
    <w:rsid w:val="00DB1F6E"/>
    <w:rsid w:val="00DD0B5A"/>
    <w:rsid w:val="00DD18EF"/>
    <w:rsid w:val="00DD4741"/>
    <w:rsid w:val="00DF48DD"/>
    <w:rsid w:val="00E212A9"/>
    <w:rsid w:val="00E310F4"/>
    <w:rsid w:val="00E429A6"/>
    <w:rsid w:val="00E46A32"/>
    <w:rsid w:val="00E6175F"/>
    <w:rsid w:val="00E65BD9"/>
    <w:rsid w:val="00E66D64"/>
    <w:rsid w:val="00E71E20"/>
    <w:rsid w:val="00E805C5"/>
    <w:rsid w:val="00EC7884"/>
    <w:rsid w:val="00ED3C66"/>
    <w:rsid w:val="00EF07AF"/>
    <w:rsid w:val="00EF0F14"/>
    <w:rsid w:val="00F02281"/>
    <w:rsid w:val="00F067CF"/>
    <w:rsid w:val="00F159C8"/>
    <w:rsid w:val="00F22664"/>
    <w:rsid w:val="00F32542"/>
    <w:rsid w:val="00F32C4F"/>
    <w:rsid w:val="00F32E9C"/>
    <w:rsid w:val="00F42112"/>
    <w:rsid w:val="00F50F1A"/>
    <w:rsid w:val="00F56B63"/>
    <w:rsid w:val="00F61356"/>
    <w:rsid w:val="00F62365"/>
    <w:rsid w:val="00F741BD"/>
    <w:rsid w:val="00F80B6B"/>
    <w:rsid w:val="00F96216"/>
    <w:rsid w:val="00FA1D07"/>
    <w:rsid w:val="00FA2FFD"/>
    <w:rsid w:val="00FB02DD"/>
    <w:rsid w:val="00FB18B0"/>
    <w:rsid w:val="00FB1B84"/>
    <w:rsid w:val="00FB7DDA"/>
    <w:rsid w:val="00FC36D5"/>
    <w:rsid w:val="00FE37DE"/>
    <w:rsid w:val="00FE4DE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3D1AAC1"/>
  <w15:chartTrackingRefBased/>
  <w15:docId w15:val="{EB9C44AC-EC33-474E-B11E-969FD4DA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34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F05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4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8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CD8"/>
  </w:style>
  <w:style w:type="paragraph" w:styleId="Pidipagina">
    <w:name w:val="footer"/>
    <w:basedOn w:val="Normale"/>
    <w:link w:val="PidipaginaCarattere"/>
    <w:uiPriority w:val="99"/>
    <w:unhideWhenUsed/>
    <w:rsid w:val="004A6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CD8"/>
  </w:style>
  <w:style w:type="paragraph" w:styleId="Paragrafoelenco">
    <w:name w:val="List Paragraph"/>
    <w:basedOn w:val="Normale"/>
    <w:uiPriority w:val="34"/>
    <w:qFormat/>
    <w:rsid w:val="000D1E3B"/>
    <w:pPr>
      <w:ind w:left="720"/>
      <w:contextualSpacing/>
    </w:pPr>
  </w:style>
  <w:style w:type="character" w:styleId="Collegamentoipertestuale">
    <w:name w:val="Hyperlink"/>
    <w:uiPriority w:val="99"/>
    <w:unhideWhenUsed/>
    <w:rsid w:val="00046D1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A1D07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355B1A"/>
    <w:pPr>
      <w:spacing w:after="0" w:line="240" w:lineRule="auto"/>
    </w:pPr>
    <w:rPr>
      <w:rFonts w:cs="Calibri"/>
      <w:lang w:eastAsia="it-IT"/>
    </w:rPr>
  </w:style>
  <w:style w:type="character" w:styleId="Rimandocommento">
    <w:name w:val="annotation reference"/>
    <w:uiPriority w:val="99"/>
    <w:semiHidden/>
    <w:unhideWhenUsed/>
    <w:rsid w:val="007B0D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D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B0D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DF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B0DF6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9B39A3"/>
    <w:rPr>
      <w:color w:val="954F72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E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Fratini</dc:creator>
  <cp:keywords/>
  <cp:lastModifiedBy>p.mantini56@gmail.com</cp:lastModifiedBy>
  <cp:revision>2</cp:revision>
  <cp:lastPrinted>2018-10-16T09:50:00Z</cp:lastPrinted>
  <dcterms:created xsi:type="dcterms:W3CDTF">2020-11-04T23:49:00Z</dcterms:created>
  <dcterms:modified xsi:type="dcterms:W3CDTF">2020-11-04T23:49:00Z</dcterms:modified>
</cp:coreProperties>
</file>