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B570" w14:textId="6303F8F6" w:rsidR="007D61AC" w:rsidRPr="00226047" w:rsidRDefault="00D15274" w:rsidP="00226047">
      <w:pPr>
        <w:ind w:left="284" w:right="282"/>
      </w:pPr>
      <w:r>
        <w:t xml:space="preserve">                                    </w:t>
      </w:r>
    </w:p>
    <w:p w14:paraId="49024EBE" w14:textId="288AB168" w:rsidR="006D08D3" w:rsidRPr="000D6093" w:rsidRDefault="00042527" w:rsidP="00226047">
      <w:pPr>
        <w:spacing w:line="360" w:lineRule="auto"/>
        <w:ind w:left="284" w:right="282"/>
        <w:jc w:val="both"/>
        <w:rPr>
          <w:rFonts w:ascii="Garamond" w:hAnsi="Garamond"/>
          <w:b/>
          <w:bCs/>
          <w:sz w:val="28"/>
          <w:szCs w:val="28"/>
        </w:rPr>
      </w:pPr>
      <w:r>
        <w:rPr>
          <w:rFonts w:ascii="Garamond" w:hAnsi="Garamond"/>
          <w:b/>
          <w:bCs/>
          <w:sz w:val="28"/>
          <w:szCs w:val="28"/>
        </w:rPr>
        <w:t>Oggetto</w:t>
      </w:r>
      <w:r w:rsidRPr="000D6093">
        <w:rPr>
          <w:rFonts w:ascii="Garamond" w:hAnsi="Garamond"/>
          <w:b/>
          <w:bCs/>
          <w:sz w:val="28"/>
          <w:szCs w:val="28"/>
        </w:rPr>
        <w:t>: certificazione dello stato legittimo dell</w:t>
      </w:r>
      <w:r w:rsidR="00226047" w:rsidRPr="000D6093">
        <w:rPr>
          <w:rFonts w:ascii="Garamond" w:hAnsi="Garamond"/>
          <w:b/>
          <w:bCs/>
          <w:sz w:val="28"/>
          <w:szCs w:val="28"/>
        </w:rPr>
        <w:t>’</w:t>
      </w:r>
      <w:r w:rsidRPr="000D6093">
        <w:rPr>
          <w:rFonts w:ascii="Garamond" w:hAnsi="Garamond"/>
          <w:b/>
          <w:bCs/>
          <w:sz w:val="28"/>
          <w:szCs w:val="28"/>
        </w:rPr>
        <w:t>immobile e della conformità</w:t>
      </w:r>
      <w:r w:rsidR="007D61AC" w:rsidRPr="000D6093">
        <w:rPr>
          <w:rFonts w:ascii="Garamond" w:hAnsi="Garamond"/>
          <w:b/>
          <w:bCs/>
          <w:sz w:val="28"/>
          <w:szCs w:val="28"/>
        </w:rPr>
        <w:t xml:space="preserve"> urbanistica da parte del professionista</w:t>
      </w:r>
      <w:r w:rsidR="00226047" w:rsidRPr="000D6093">
        <w:rPr>
          <w:rFonts w:ascii="Garamond" w:hAnsi="Garamond"/>
          <w:b/>
          <w:bCs/>
          <w:sz w:val="28"/>
          <w:szCs w:val="28"/>
        </w:rPr>
        <w:t xml:space="preserve"> - Riscontro a nota della</w:t>
      </w:r>
      <w:r w:rsidR="00226047" w:rsidRPr="000D6093">
        <w:rPr>
          <w:b/>
          <w:bCs/>
        </w:rPr>
        <w:t xml:space="preserve"> </w:t>
      </w:r>
      <w:r w:rsidR="00226047" w:rsidRPr="000D6093">
        <w:rPr>
          <w:rFonts w:ascii="Garamond" w:hAnsi="Garamond"/>
          <w:b/>
          <w:bCs/>
          <w:sz w:val="28"/>
          <w:szCs w:val="28"/>
        </w:rPr>
        <w:t xml:space="preserve">Studio </w:t>
      </w:r>
      <w:r w:rsidR="00716F24">
        <w:rPr>
          <w:rFonts w:ascii="Garamond" w:hAnsi="Garamond"/>
          <w:b/>
          <w:bCs/>
          <w:sz w:val="28"/>
          <w:szCs w:val="28"/>
        </w:rPr>
        <w:t>XXX</w:t>
      </w:r>
      <w:r w:rsidR="00226047" w:rsidRPr="000D6093">
        <w:rPr>
          <w:rFonts w:ascii="Garamond" w:hAnsi="Garamond"/>
          <w:b/>
          <w:bCs/>
          <w:sz w:val="28"/>
          <w:szCs w:val="28"/>
        </w:rPr>
        <w:t xml:space="preserve"> per il Comune di </w:t>
      </w:r>
      <w:r w:rsidR="00716F24">
        <w:rPr>
          <w:rFonts w:ascii="Garamond" w:hAnsi="Garamond"/>
          <w:b/>
          <w:bCs/>
          <w:sz w:val="28"/>
          <w:szCs w:val="28"/>
        </w:rPr>
        <w:t>XXX</w:t>
      </w:r>
      <w:r w:rsidR="00226047" w:rsidRPr="000D6093">
        <w:rPr>
          <w:rFonts w:ascii="Garamond" w:hAnsi="Garamond"/>
          <w:b/>
          <w:bCs/>
          <w:sz w:val="28"/>
          <w:szCs w:val="28"/>
        </w:rPr>
        <w:t xml:space="preserve"> con nota del 2.10.2020.</w:t>
      </w:r>
    </w:p>
    <w:p w14:paraId="0A9B9028" w14:textId="77777777" w:rsidR="00F14667" w:rsidRDefault="00F14667" w:rsidP="00F71564">
      <w:pPr>
        <w:spacing w:line="360" w:lineRule="auto"/>
        <w:ind w:left="284" w:right="282"/>
        <w:jc w:val="both"/>
        <w:rPr>
          <w:rFonts w:ascii="Garamond" w:hAnsi="Garamond"/>
          <w:sz w:val="28"/>
          <w:szCs w:val="28"/>
        </w:rPr>
      </w:pPr>
    </w:p>
    <w:p w14:paraId="1FD2DF1A" w14:textId="6CF7FE5A" w:rsidR="009F4D89" w:rsidRPr="009F4D89" w:rsidRDefault="009F4D89" w:rsidP="00F71564">
      <w:pPr>
        <w:spacing w:line="360" w:lineRule="auto"/>
        <w:ind w:left="284" w:right="282"/>
        <w:jc w:val="both"/>
        <w:rPr>
          <w:rFonts w:ascii="Garamond" w:hAnsi="Garamond"/>
          <w:sz w:val="28"/>
          <w:szCs w:val="28"/>
        </w:rPr>
      </w:pPr>
      <w:r w:rsidRPr="009F4D89">
        <w:rPr>
          <w:rFonts w:ascii="Garamond" w:hAnsi="Garamond"/>
          <w:sz w:val="28"/>
          <w:szCs w:val="28"/>
        </w:rPr>
        <w:t>Il problema sollevato</w:t>
      </w:r>
      <w:r w:rsidR="003A60D0">
        <w:rPr>
          <w:rFonts w:ascii="Garamond" w:hAnsi="Garamond"/>
          <w:sz w:val="28"/>
          <w:szCs w:val="28"/>
        </w:rPr>
        <w:t xml:space="preserve"> </w:t>
      </w:r>
      <w:r w:rsidRPr="009F4D89">
        <w:rPr>
          <w:rFonts w:ascii="Garamond" w:hAnsi="Garamond"/>
          <w:sz w:val="28"/>
          <w:szCs w:val="28"/>
        </w:rPr>
        <w:t>d</w:t>
      </w:r>
      <w:r w:rsidR="003A60D0">
        <w:rPr>
          <w:rFonts w:ascii="Garamond" w:hAnsi="Garamond"/>
          <w:sz w:val="28"/>
          <w:szCs w:val="28"/>
        </w:rPr>
        <w:t>a</w:t>
      </w:r>
      <w:r w:rsidRPr="009F4D89">
        <w:rPr>
          <w:rFonts w:ascii="Garamond" w:hAnsi="Garamond"/>
          <w:sz w:val="28"/>
          <w:szCs w:val="28"/>
        </w:rPr>
        <w:t xml:space="preserve">llo Studio </w:t>
      </w:r>
      <w:r w:rsidR="00716F24">
        <w:rPr>
          <w:rFonts w:ascii="Garamond" w:hAnsi="Garamond"/>
          <w:sz w:val="28"/>
          <w:szCs w:val="28"/>
        </w:rPr>
        <w:t>XXX</w:t>
      </w:r>
      <w:r w:rsidR="007B78C4">
        <w:rPr>
          <w:rFonts w:ascii="Garamond" w:hAnsi="Garamond"/>
          <w:sz w:val="28"/>
          <w:szCs w:val="28"/>
        </w:rPr>
        <w:t xml:space="preserve"> </w:t>
      </w:r>
      <w:r w:rsidRPr="009F4D89">
        <w:rPr>
          <w:rFonts w:ascii="Garamond" w:hAnsi="Garamond"/>
          <w:sz w:val="28"/>
          <w:szCs w:val="28"/>
        </w:rPr>
        <w:t xml:space="preserve">per il Comune di </w:t>
      </w:r>
      <w:r w:rsidR="00716F24">
        <w:rPr>
          <w:rFonts w:ascii="Garamond" w:hAnsi="Garamond"/>
          <w:sz w:val="28"/>
          <w:szCs w:val="28"/>
        </w:rPr>
        <w:t>XXX</w:t>
      </w:r>
      <w:r w:rsidR="003A60D0">
        <w:rPr>
          <w:rFonts w:ascii="Garamond" w:hAnsi="Garamond"/>
          <w:sz w:val="28"/>
          <w:szCs w:val="28"/>
        </w:rPr>
        <w:t xml:space="preserve"> con nota del 2.10.2020</w:t>
      </w:r>
      <w:r w:rsidRPr="009F4D89">
        <w:rPr>
          <w:rFonts w:ascii="Garamond" w:hAnsi="Garamond"/>
          <w:sz w:val="28"/>
          <w:szCs w:val="28"/>
        </w:rPr>
        <w:t xml:space="preserve">, relativo alla documentazione dello </w:t>
      </w:r>
      <w:r w:rsidR="00DC1877">
        <w:rPr>
          <w:rFonts w:ascii="Garamond" w:hAnsi="Garamond"/>
          <w:sz w:val="28"/>
          <w:szCs w:val="28"/>
        </w:rPr>
        <w:t>“</w:t>
      </w:r>
      <w:r w:rsidRPr="009F4D89">
        <w:rPr>
          <w:rFonts w:ascii="Garamond" w:hAnsi="Garamond"/>
          <w:sz w:val="28"/>
          <w:szCs w:val="28"/>
        </w:rPr>
        <w:t>stato legittimo</w:t>
      </w:r>
      <w:r w:rsidR="00DC1877">
        <w:rPr>
          <w:rFonts w:ascii="Garamond" w:hAnsi="Garamond"/>
          <w:sz w:val="28"/>
          <w:szCs w:val="28"/>
        </w:rPr>
        <w:t>”</w:t>
      </w:r>
      <w:r w:rsidRPr="009F4D89">
        <w:rPr>
          <w:rFonts w:ascii="Garamond" w:hAnsi="Garamond"/>
          <w:sz w:val="28"/>
          <w:szCs w:val="28"/>
        </w:rPr>
        <w:t xml:space="preserve"> dell</w:t>
      </w:r>
      <w:r w:rsidR="00DC1877">
        <w:rPr>
          <w:rFonts w:ascii="Garamond" w:hAnsi="Garamond"/>
          <w:sz w:val="28"/>
          <w:szCs w:val="28"/>
        </w:rPr>
        <w:t>’</w:t>
      </w:r>
      <w:r w:rsidRPr="009F4D89">
        <w:rPr>
          <w:rFonts w:ascii="Garamond" w:hAnsi="Garamond"/>
          <w:sz w:val="28"/>
          <w:szCs w:val="28"/>
        </w:rPr>
        <w:t>immobile, è diffuso e fondato</w:t>
      </w:r>
      <w:r w:rsidR="00C830AB">
        <w:rPr>
          <w:rFonts w:ascii="Garamond" w:hAnsi="Garamond"/>
          <w:sz w:val="28"/>
          <w:szCs w:val="28"/>
        </w:rPr>
        <w:t>.</w:t>
      </w:r>
      <w:r w:rsidR="00A34504">
        <w:rPr>
          <w:rFonts w:ascii="Garamond" w:hAnsi="Garamond"/>
          <w:sz w:val="28"/>
          <w:szCs w:val="28"/>
        </w:rPr>
        <w:t xml:space="preserve"> </w:t>
      </w:r>
      <w:proofErr w:type="gramStart"/>
      <w:r w:rsidR="00C830AB">
        <w:rPr>
          <w:rFonts w:ascii="Garamond" w:hAnsi="Garamond"/>
          <w:sz w:val="28"/>
          <w:szCs w:val="28"/>
        </w:rPr>
        <w:t>T</w:t>
      </w:r>
      <w:r w:rsidR="00A34504">
        <w:rPr>
          <w:rFonts w:ascii="Garamond" w:hAnsi="Garamond"/>
          <w:sz w:val="28"/>
          <w:szCs w:val="28"/>
        </w:rPr>
        <w:t>uttavia</w:t>
      </w:r>
      <w:proofErr w:type="gramEnd"/>
      <w:r w:rsidR="00A34504">
        <w:rPr>
          <w:rFonts w:ascii="Garamond" w:hAnsi="Garamond"/>
          <w:sz w:val="28"/>
          <w:szCs w:val="28"/>
        </w:rPr>
        <w:t xml:space="preserve"> le modalità di formulazione del quesito</w:t>
      </w:r>
      <w:r w:rsidRPr="009F4D89">
        <w:rPr>
          <w:rFonts w:ascii="Garamond" w:hAnsi="Garamond"/>
          <w:sz w:val="28"/>
          <w:szCs w:val="28"/>
        </w:rPr>
        <w:t xml:space="preserve"> </w:t>
      </w:r>
      <w:r w:rsidR="003A60D0">
        <w:rPr>
          <w:rFonts w:ascii="Garamond" w:hAnsi="Garamond"/>
          <w:sz w:val="28"/>
          <w:szCs w:val="28"/>
        </w:rPr>
        <w:t>non risulta</w:t>
      </w:r>
      <w:r w:rsidR="00A34504">
        <w:rPr>
          <w:rFonts w:ascii="Garamond" w:hAnsi="Garamond"/>
          <w:sz w:val="28"/>
          <w:szCs w:val="28"/>
        </w:rPr>
        <w:t>no</w:t>
      </w:r>
      <w:r w:rsidR="003A60D0">
        <w:rPr>
          <w:rFonts w:ascii="Garamond" w:hAnsi="Garamond"/>
          <w:sz w:val="28"/>
          <w:szCs w:val="28"/>
        </w:rPr>
        <w:t xml:space="preserve"> del tutto coerent</w:t>
      </w:r>
      <w:r w:rsidR="00A34504">
        <w:rPr>
          <w:rFonts w:ascii="Garamond" w:hAnsi="Garamond"/>
          <w:sz w:val="28"/>
          <w:szCs w:val="28"/>
        </w:rPr>
        <w:t>i</w:t>
      </w:r>
      <w:r w:rsidR="003A60D0">
        <w:rPr>
          <w:rFonts w:ascii="Garamond" w:hAnsi="Garamond"/>
          <w:sz w:val="28"/>
          <w:szCs w:val="28"/>
        </w:rPr>
        <w:t xml:space="preserve"> con le novità normative </w:t>
      </w:r>
      <w:r w:rsidR="00A34504">
        <w:rPr>
          <w:rFonts w:ascii="Garamond" w:hAnsi="Garamond"/>
          <w:sz w:val="28"/>
          <w:szCs w:val="28"/>
        </w:rPr>
        <w:t xml:space="preserve">recentemente </w:t>
      </w:r>
      <w:r w:rsidR="003A60D0">
        <w:rPr>
          <w:rFonts w:ascii="Garamond" w:hAnsi="Garamond"/>
          <w:sz w:val="28"/>
          <w:szCs w:val="28"/>
        </w:rPr>
        <w:t>intervenute sul tema oggetto di esame</w:t>
      </w:r>
      <w:r w:rsidRPr="009F4D89">
        <w:rPr>
          <w:rFonts w:ascii="Garamond" w:hAnsi="Garamond"/>
          <w:sz w:val="28"/>
          <w:szCs w:val="28"/>
        </w:rPr>
        <w:t>.</w:t>
      </w:r>
    </w:p>
    <w:p w14:paraId="02D03737" w14:textId="00DE3D90" w:rsidR="00A34504" w:rsidRDefault="009F4D89" w:rsidP="00F71564">
      <w:pPr>
        <w:spacing w:line="360" w:lineRule="auto"/>
        <w:ind w:left="284" w:right="282"/>
        <w:jc w:val="both"/>
        <w:rPr>
          <w:rFonts w:ascii="Garamond" w:hAnsi="Garamond"/>
          <w:sz w:val="28"/>
          <w:szCs w:val="28"/>
        </w:rPr>
      </w:pPr>
      <w:r w:rsidRPr="009F4D89">
        <w:rPr>
          <w:rFonts w:ascii="Garamond" w:hAnsi="Garamond"/>
          <w:sz w:val="28"/>
          <w:szCs w:val="28"/>
        </w:rPr>
        <w:t xml:space="preserve">Infatti, </w:t>
      </w:r>
      <w:r w:rsidR="00C75EE6">
        <w:rPr>
          <w:rFonts w:ascii="Garamond" w:hAnsi="Garamond"/>
          <w:sz w:val="28"/>
          <w:szCs w:val="28"/>
        </w:rPr>
        <w:t xml:space="preserve">la questione </w:t>
      </w:r>
      <w:r w:rsidR="00A34504">
        <w:rPr>
          <w:rFonts w:ascii="Garamond" w:hAnsi="Garamond"/>
          <w:sz w:val="28"/>
          <w:szCs w:val="28"/>
        </w:rPr>
        <w:t>da indagare</w:t>
      </w:r>
      <w:r w:rsidRPr="009F4D89">
        <w:rPr>
          <w:rFonts w:ascii="Garamond" w:hAnsi="Garamond"/>
          <w:sz w:val="28"/>
          <w:szCs w:val="28"/>
        </w:rPr>
        <w:t xml:space="preserve"> non </w:t>
      </w:r>
      <w:r w:rsidR="00A34504">
        <w:rPr>
          <w:rFonts w:ascii="Garamond" w:hAnsi="Garamond"/>
          <w:sz w:val="28"/>
          <w:szCs w:val="28"/>
        </w:rPr>
        <w:t>risulta tanto</w:t>
      </w:r>
      <w:r w:rsidRPr="009F4D89">
        <w:rPr>
          <w:rFonts w:ascii="Garamond" w:hAnsi="Garamond"/>
          <w:sz w:val="28"/>
          <w:szCs w:val="28"/>
        </w:rPr>
        <w:t xml:space="preserve"> quell</w:t>
      </w:r>
      <w:r w:rsidR="00C75EE6">
        <w:rPr>
          <w:rFonts w:ascii="Garamond" w:hAnsi="Garamond"/>
          <w:sz w:val="28"/>
          <w:szCs w:val="28"/>
        </w:rPr>
        <w:t>a</w:t>
      </w:r>
      <w:r w:rsidRPr="009F4D89">
        <w:rPr>
          <w:rFonts w:ascii="Garamond" w:hAnsi="Garamond"/>
          <w:sz w:val="28"/>
          <w:szCs w:val="28"/>
        </w:rPr>
        <w:t xml:space="preserve"> di</w:t>
      </w:r>
      <w:r w:rsidR="007B78C4">
        <w:rPr>
          <w:rFonts w:ascii="Garamond" w:hAnsi="Garamond"/>
          <w:sz w:val="28"/>
          <w:szCs w:val="28"/>
        </w:rPr>
        <w:t xml:space="preserve"> </w:t>
      </w:r>
      <w:r w:rsidR="00C75EE6">
        <w:rPr>
          <w:rFonts w:ascii="Garamond" w:hAnsi="Garamond"/>
          <w:sz w:val="28"/>
          <w:szCs w:val="28"/>
        </w:rPr>
        <w:t>individuare</w:t>
      </w:r>
      <w:r w:rsidR="007B78C4">
        <w:rPr>
          <w:rFonts w:ascii="Garamond" w:hAnsi="Garamond"/>
          <w:sz w:val="28"/>
          <w:szCs w:val="28"/>
        </w:rPr>
        <w:t xml:space="preserve"> </w:t>
      </w:r>
      <w:r w:rsidR="00FB4760">
        <w:rPr>
          <w:rFonts w:ascii="Garamond" w:hAnsi="Garamond"/>
          <w:sz w:val="28"/>
          <w:szCs w:val="28"/>
        </w:rPr>
        <w:t>un percorso</w:t>
      </w:r>
      <w:r w:rsidRPr="009F4D89">
        <w:rPr>
          <w:rFonts w:ascii="Garamond" w:hAnsi="Garamond"/>
          <w:sz w:val="28"/>
          <w:szCs w:val="28"/>
        </w:rPr>
        <w:t xml:space="preserve"> </w:t>
      </w:r>
      <w:r w:rsidR="007B78C4">
        <w:rPr>
          <w:rFonts w:ascii="Garamond" w:hAnsi="Garamond"/>
          <w:sz w:val="28"/>
          <w:szCs w:val="28"/>
        </w:rPr>
        <w:t xml:space="preserve">attraverso </w:t>
      </w:r>
      <w:r w:rsidR="00FB4760">
        <w:rPr>
          <w:rFonts w:ascii="Garamond" w:hAnsi="Garamond"/>
          <w:sz w:val="28"/>
          <w:szCs w:val="28"/>
        </w:rPr>
        <w:t xml:space="preserve">il </w:t>
      </w:r>
      <w:r w:rsidR="007B78C4">
        <w:rPr>
          <w:rFonts w:ascii="Garamond" w:hAnsi="Garamond"/>
          <w:sz w:val="28"/>
          <w:szCs w:val="28"/>
        </w:rPr>
        <w:t>qual</w:t>
      </w:r>
      <w:r w:rsidR="00FB4760">
        <w:rPr>
          <w:rFonts w:ascii="Garamond" w:hAnsi="Garamond"/>
          <w:sz w:val="28"/>
          <w:szCs w:val="28"/>
        </w:rPr>
        <w:t>e</w:t>
      </w:r>
      <w:r w:rsidR="007B78C4">
        <w:rPr>
          <w:rFonts w:ascii="Garamond" w:hAnsi="Garamond"/>
          <w:sz w:val="28"/>
          <w:szCs w:val="28"/>
        </w:rPr>
        <w:t xml:space="preserve"> il</w:t>
      </w:r>
      <w:r w:rsidR="00A34504">
        <w:rPr>
          <w:rFonts w:ascii="Garamond" w:hAnsi="Garamond"/>
          <w:sz w:val="28"/>
          <w:szCs w:val="28"/>
        </w:rPr>
        <w:t xml:space="preserve"> </w:t>
      </w:r>
      <w:r w:rsidR="00C830AB">
        <w:rPr>
          <w:rFonts w:ascii="Garamond" w:hAnsi="Garamond"/>
          <w:sz w:val="28"/>
          <w:szCs w:val="28"/>
        </w:rPr>
        <w:t>p</w:t>
      </w:r>
      <w:r w:rsidR="00A34504">
        <w:rPr>
          <w:rFonts w:ascii="Garamond" w:hAnsi="Garamond"/>
          <w:sz w:val="28"/>
          <w:szCs w:val="28"/>
        </w:rPr>
        <w:t xml:space="preserve">rofessionista </w:t>
      </w:r>
      <w:r w:rsidR="007B78C4">
        <w:rPr>
          <w:rFonts w:ascii="Garamond" w:hAnsi="Garamond"/>
          <w:sz w:val="28"/>
          <w:szCs w:val="28"/>
        </w:rPr>
        <w:t>possa</w:t>
      </w:r>
      <w:r w:rsidR="00A34504">
        <w:rPr>
          <w:rFonts w:ascii="Garamond" w:hAnsi="Garamond"/>
          <w:sz w:val="28"/>
          <w:szCs w:val="28"/>
        </w:rPr>
        <w:t xml:space="preserve"> ottenere,</w:t>
      </w:r>
      <w:r w:rsidRPr="009F4D89">
        <w:rPr>
          <w:rFonts w:ascii="Garamond" w:hAnsi="Garamond"/>
          <w:sz w:val="28"/>
          <w:szCs w:val="28"/>
        </w:rPr>
        <w:t xml:space="preserve"> da parte del Comune</w:t>
      </w:r>
      <w:r w:rsidR="00A34504">
        <w:rPr>
          <w:rFonts w:ascii="Garamond" w:hAnsi="Garamond"/>
          <w:sz w:val="28"/>
          <w:szCs w:val="28"/>
        </w:rPr>
        <w:t>, una conferma</w:t>
      </w:r>
      <w:r w:rsidRPr="009F4D89">
        <w:rPr>
          <w:rFonts w:ascii="Garamond" w:hAnsi="Garamond"/>
          <w:sz w:val="28"/>
          <w:szCs w:val="28"/>
        </w:rPr>
        <w:t xml:space="preserve"> </w:t>
      </w:r>
      <w:r w:rsidR="00A34504">
        <w:rPr>
          <w:rFonts w:ascii="Garamond" w:hAnsi="Garamond"/>
          <w:sz w:val="28"/>
          <w:szCs w:val="28"/>
        </w:rPr>
        <w:t xml:space="preserve">circa </w:t>
      </w:r>
      <w:r w:rsidR="003A60D0">
        <w:rPr>
          <w:rFonts w:ascii="Garamond" w:hAnsi="Garamond"/>
          <w:sz w:val="28"/>
          <w:szCs w:val="28"/>
        </w:rPr>
        <w:t>la legittimità dei</w:t>
      </w:r>
      <w:r w:rsidRPr="009F4D89">
        <w:rPr>
          <w:rFonts w:ascii="Garamond" w:hAnsi="Garamond"/>
          <w:sz w:val="28"/>
          <w:szCs w:val="28"/>
        </w:rPr>
        <w:t xml:space="preserve"> documenti</w:t>
      </w:r>
      <w:r w:rsidR="00C75EE6">
        <w:rPr>
          <w:rFonts w:ascii="Garamond" w:hAnsi="Garamond"/>
          <w:sz w:val="28"/>
          <w:szCs w:val="28"/>
        </w:rPr>
        <w:t xml:space="preserve"> (</w:t>
      </w:r>
      <w:r w:rsidRPr="009F4D89">
        <w:rPr>
          <w:rFonts w:ascii="Garamond" w:hAnsi="Garamond"/>
          <w:sz w:val="28"/>
          <w:szCs w:val="28"/>
        </w:rPr>
        <w:t xml:space="preserve">più o meno </w:t>
      </w:r>
      <w:r w:rsidR="003A60D0">
        <w:rPr>
          <w:rFonts w:ascii="Garamond" w:hAnsi="Garamond"/>
          <w:sz w:val="28"/>
          <w:szCs w:val="28"/>
        </w:rPr>
        <w:t>correttamente tenuti</w:t>
      </w:r>
      <w:r w:rsidR="00C75EE6">
        <w:rPr>
          <w:rFonts w:ascii="Garamond" w:hAnsi="Garamond"/>
          <w:sz w:val="28"/>
          <w:szCs w:val="28"/>
        </w:rPr>
        <w:t>)</w:t>
      </w:r>
      <w:r w:rsidRPr="009F4D89">
        <w:rPr>
          <w:rFonts w:ascii="Garamond" w:hAnsi="Garamond"/>
          <w:sz w:val="28"/>
          <w:szCs w:val="28"/>
        </w:rPr>
        <w:t xml:space="preserve"> in possesso</w:t>
      </w:r>
      <w:r w:rsidR="003A60D0">
        <w:rPr>
          <w:rFonts w:ascii="Garamond" w:hAnsi="Garamond"/>
          <w:sz w:val="28"/>
          <w:szCs w:val="28"/>
        </w:rPr>
        <w:t xml:space="preserve"> dell’Amministrazione locale</w:t>
      </w:r>
      <w:r w:rsidRPr="009F4D89">
        <w:rPr>
          <w:rFonts w:ascii="Garamond" w:hAnsi="Garamond"/>
          <w:sz w:val="28"/>
          <w:szCs w:val="28"/>
        </w:rPr>
        <w:t xml:space="preserve">, relativi alla </w:t>
      </w:r>
      <w:r w:rsidR="00DC1877">
        <w:rPr>
          <w:rFonts w:ascii="Garamond" w:hAnsi="Garamond"/>
          <w:sz w:val="28"/>
          <w:szCs w:val="28"/>
        </w:rPr>
        <w:t>“</w:t>
      </w:r>
      <w:r w:rsidRPr="009F4D89">
        <w:rPr>
          <w:rFonts w:ascii="Garamond" w:hAnsi="Garamond"/>
          <w:sz w:val="28"/>
          <w:szCs w:val="28"/>
        </w:rPr>
        <w:t>storia</w:t>
      </w:r>
      <w:r w:rsidR="00DC1877">
        <w:rPr>
          <w:rFonts w:ascii="Garamond" w:hAnsi="Garamond"/>
          <w:sz w:val="28"/>
          <w:szCs w:val="28"/>
        </w:rPr>
        <w:t>”</w:t>
      </w:r>
      <w:r w:rsidRPr="009F4D89">
        <w:rPr>
          <w:rFonts w:ascii="Garamond" w:hAnsi="Garamond"/>
          <w:sz w:val="28"/>
          <w:szCs w:val="28"/>
        </w:rPr>
        <w:t xml:space="preserve"> dell</w:t>
      </w:r>
      <w:r w:rsidR="003A60D0">
        <w:rPr>
          <w:rFonts w:ascii="Garamond" w:hAnsi="Garamond"/>
          <w:sz w:val="28"/>
          <w:szCs w:val="28"/>
        </w:rPr>
        <w:t>’</w:t>
      </w:r>
      <w:r w:rsidRPr="009F4D89">
        <w:rPr>
          <w:rFonts w:ascii="Garamond" w:hAnsi="Garamond"/>
          <w:sz w:val="28"/>
          <w:szCs w:val="28"/>
        </w:rPr>
        <w:t xml:space="preserve">immobile. </w:t>
      </w:r>
    </w:p>
    <w:p w14:paraId="3587E8E1" w14:textId="45C3FCBD" w:rsidR="00F71564" w:rsidRDefault="009F4D89" w:rsidP="00F71564">
      <w:pPr>
        <w:spacing w:line="360" w:lineRule="auto"/>
        <w:ind w:left="284" w:right="282"/>
        <w:jc w:val="both"/>
        <w:rPr>
          <w:rFonts w:ascii="Garamond" w:hAnsi="Garamond"/>
          <w:sz w:val="28"/>
          <w:szCs w:val="28"/>
        </w:rPr>
      </w:pPr>
      <w:r w:rsidRPr="009F4D89">
        <w:rPr>
          <w:rFonts w:ascii="Garamond" w:hAnsi="Garamond"/>
          <w:sz w:val="28"/>
          <w:szCs w:val="28"/>
        </w:rPr>
        <w:t>Il punto è invece quello</w:t>
      </w:r>
      <w:r w:rsidR="00A34504">
        <w:rPr>
          <w:rFonts w:ascii="Garamond" w:hAnsi="Garamond"/>
          <w:sz w:val="28"/>
          <w:szCs w:val="28"/>
        </w:rPr>
        <w:t xml:space="preserve"> di chiarire, e ove necessario ulteriormente confermare, che</w:t>
      </w:r>
      <w:r w:rsidRPr="009F4D89">
        <w:rPr>
          <w:rFonts w:ascii="Garamond" w:hAnsi="Garamond"/>
          <w:sz w:val="28"/>
          <w:szCs w:val="28"/>
        </w:rPr>
        <w:t xml:space="preserve"> l</w:t>
      </w:r>
      <w:r w:rsidR="003A60D0">
        <w:rPr>
          <w:rFonts w:ascii="Garamond" w:hAnsi="Garamond"/>
          <w:sz w:val="28"/>
          <w:szCs w:val="28"/>
        </w:rPr>
        <w:t>’</w:t>
      </w:r>
      <w:r w:rsidRPr="009F4D89">
        <w:rPr>
          <w:rFonts w:ascii="Garamond" w:hAnsi="Garamond"/>
          <w:sz w:val="28"/>
          <w:szCs w:val="28"/>
        </w:rPr>
        <w:t>attestazione di legittimità dell</w:t>
      </w:r>
      <w:r w:rsidR="00A34504">
        <w:rPr>
          <w:rFonts w:ascii="Garamond" w:hAnsi="Garamond"/>
          <w:sz w:val="28"/>
          <w:szCs w:val="28"/>
        </w:rPr>
        <w:t>’</w:t>
      </w:r>
      <w:r w:rsidRPr="009F4D89">
        <w:rPr>
          <w:rFonts w:ascii="Garamond" w:hAnsi="Garamond"/>
          <w:sz w:val="28"/>
          <w:szCs w:val="28"/>
        </w:rPr>
        <w:t xml:space="preserve">immobile da parte del professionista, </w:t>
      </w:r>
      <w:r w:rsidR="003F4B33">
        <w:rPr>
          <w:rFonts w:ascii="Garamond" w:hAnsi="Garamond"/>
          <w:sz w:val="28"/>
          <w:szCs w:val="28"/>
        </w:rPr>
        <w:t xml:space="preserve">ai fini dell’erogazione del contributo per la ricostruzione privata, </w:t>
      </w:r>
      <w:r w:rsidRPr="009F4D89">
        <w:rPr>
          <w:rFonts w:ascii="Garamond" w:hAnsi="Garamond"/>
          <w:sz w:val="28"/>
          <w:szCs w:val="28"/>
        </w:rPr>
        <w:t>p</w:t>
      </w:r>
      <w:r w:rsidR="00A34504">
        <w:rPr>
          <w:rFonts w:ascii="Garamond" w:hAnsi="Garamond"/>
          <w:sz w:val="28"/>
          <w:szCs w:val="28"/>
        </w:rPr>
        <w:t>uò</w:t>
      </w:r>
      <w:r w:rsidRPr="009F4D89">
        <w:rPr>
          <w:rFonts w:ascii="Garamond" w:hAnsi="Garamond"/>
          <w:sz w:val="28"/>
          <w:szCs w:val="28"/>
        </w:rPr>
        <w:t xml:space="preserve"> basarsi su elementi e atti </w:t>
      </w:r>
      <w:r w:rsidR="00A34504">
        <w:rPr>
          <w:rFonts w:ascii="Garamond" w:hAnsi="Garamond"/>
          <w:sz w:val="28"/>
          <w:szCs w:val="28"/>
        </w:rPr>
        <w:t>di diversa natura</w:t>
      </w:r>
      <w:r w:rsidRPr="009F4D89">
        <w:rPr>
          <w:rFonts w:ascii="Garamond" w:hAnsi="Garamond"/>
          <w:sz w:val="28"/>
          <w:szCs w:val="28"/>
        </w:rPr>
        <w:t>, secondo quanto ora pr</w:t>
      </w:r>
      <w:r w:rsidR="00A34504">
        <w:rPr>
          <w:rFonts w:ascii="Garamond" w:hAnsi="Garamond"/>
          <w:sz w:val="28"/>
          <w:szCs w:val="28"/>
        </w:rPr>
        <w:t>e</w:t>
      </w:r>
      <w:r w:rsidRPr="009F4D89">
        <w:rPr>
          <w:rFonts w:ascii="Garamond" w:hAnsi="Garamond"/>
          <w:sz w:val="28"/>
          <w:szCs w:val="28"/>
        </w:rPr>
        <w:t>visto dall</w:t>
      </w:r>
      <w:r w:rsidR="00A34504">
        <w:rPr>
          <w:rFonts w:ascii="Garamond" w:hAnsi="Garamond"/>
          <w:sz w:val="28"/>
          <w:szCs w:val="28"/>
        </w:rPr>
        <w:t>’</w:t>
      </w:r>
      <w:r w:rsidRPr="009F4D89">
        <w:rPr>
          <w:rFonts w:ascii="Garamond" w:hAnsi="Garamond"/>
          <w:sz w:val="28"/>
          <w:szCs w:val="28"/>
        </w:rPr>
        <w:t>art.</w:t>
      </w:r>
      <w:r w:rsidR="00A34504">
        <w:rPr>
          <w:rFonts w:ascii="Garamond" w:hAnsi="Garamond"/>
          <w:sz w:val="28"/>
          <w:szCs w:val="28"/>
        </w:rPr>
        <w:t xml:space="preserve"> </w:t>
      </w:r>
      <w:r w:rsidRPr="009F4D89">
        <w:rPr>
          <w:rFonts w:ascii="Garamond" w:hAnsi="Garamond"/>
          <w:sz w:val="28"/>
          <w:szCs w:val="28"/>
        </w:rPr>
        <w:t>9 bis</w:t>
      </w:r>
      <w:r w:rsidR="00F71564">
        <w:rPr>
          <w:rFonts w:ascii="Garamond" w:hAnsi="Garamond"/>
          <w:sz w:val="28"/>
          <w:szCs w:val="28"/>
        </w:rPr>
        <w:t>, comma 1 bis,</w:t>
      </w:r>
      <w:r w:rsidRPr="009F4D89">
        <w:rPr>
          <w:rFonts w:ascii="Garamond" w:hAnsi="Garamond"/>
          <w:sz w:val="28"/>
          <w:szCs w:val="28"/>
        </w:rPr>
        <w:t xml:space="preserve"> del</w:t>
      </w:r>
      <w:r w:rsidR="00A34504">
        <w:rPr>
          <w:rFonts w:ascii="Garamond" w:hAnsi="Garamond"/>
          <w:sz w:val="28"/>
          <w:szCs w:val="28"/>
        </w:rPr>
        <w:t xml:space="preserve"> D.P.R. 6 giugno 2001, n. 380</w:t>
      </w:r>
      <w:r w:rsidRPr="009F4D89">
        <w:rPr>
          <w:rFonts w:ascii="Garamond" w:hAnsi="Garamond"/>
          <w:sz w:val="28"/>
          <w:szCs w:val="28"/>
        </w:rPr>
        <w:t xml:space="preserve"> </w:t>
      </w:r>
      <w:r w:rsidR="00A34504">
        <w:rPr>
          <w:rFonts w:ascii="Garamond" w:hAnsi="Garamond"/>
          <w:sz w:val="28"/>
          <w:szCs w:val="28"/>
        </w:rPr>
        <w:t>(</w:t>
      </w:r>
      <w:r w:rsidRPr="009F4D89">
        <w:rPr>
          <w:rFonts w:ascii="Garamond" w:hAnsi="Garamond"/>
          <w:sz w:val="28"/>
          <w:szCs w:val="28"/>
        </w:rPr>
        <w:t>testo unico dell</w:t>
      </w:r>
      <w:r w:rsidR="00A34504">
        <w:rPr>
          <w:rFonts w:ascii="Garamond" w:hAnsi="Garamond"/>
          <w:sz w:val="28"/>
          <w:szCs w:val="28"/>
        </w:rPr>
        <w:t>’</w:t>
      </w:r>
      <w:r w:rsidRPr="009F4D89">
        <w:rPr>
          <w:rFonts w:ascii="Garamond" w:hAnsi="Garamond"/>
          <w:sz w:val="28"/>
          <w:szCs w:val="28"/>
        </w:rPr>
        <w:t>edilizia</w:t>
      </w:r>
      <w:r w:rsidR="00A34504">
        <w:rPr>
          <w:rFonts w:ascii="Garamond" w:hAnsi="Garamond"/>
          <w:sz w:val="28"/>
          <w:szCs w:val="28"/>
        </w:rPr>
        <w:t>)</w:t>
      </w:r>
      <w:r w:rsidR="00F71564">
        <w:rPr>
          <w:rFonts w:ascii="Garamond" w:hAnsi="Garamond"/>
          <w:sz w:val="28"/>
          <w:szCs w:val="28"/>
        </w:rPr>
        <w:t>.</w:t>
      </w:r>
    </w:p>
    <w:p w14:paraId="68E7CAC3" w14:textId="0AC3C730" w:rsidR="003A60D0" w:rsidRPr="009F4D89" w:rsidRDefault="00F71564" w:rsidP="00F71564">
      <w:pPr>
        <w:spacing w:line="360" w:lineRule="auto"/>
        <w:ind w:left="284" w:right="282"/>
        <w:jc w:val="both"/>
        <w:rPr>
          <w:rFonts w:ascii="Garamond" w:hAnsi="Garamond"/>
          <w:sz w:val="28"/>
          <w:szCs w:val="28"/>
        </w:rPr>
      </w:pPr>
      <w:r>
        <w:rPr>
          <w:rFonts w:ascii="Garamond" w:hAnsi="Garamond"/>
          <w:sz w:val="28"/>
          <w:szCs w:val="28"/>
        </w:rPr>
        <w:t>Detta norma prevede</w:t>
      </w:r>
      <w:r w:rsidR="009F4D89" w:rsidRPr="009F4D89">
        <w:rPr>
          <w:rFonts w:ascii="Garamond" w:hAnsi="Garamond"/>
          <w:sz w:val="28"/>
          <w:szCs w:val="28"/>
        </w:rPr>
        <w:t xml:space="preserve"> </w:t>
      </w:r>
      <w:r>
        <w:rPr>
          <w:rFonts w:ascii="Garamond" w:hAnsi="Garamond"/>
          <w:sz w:val="28"/>
          <w:szCs w:val="28"/>
        </w:rPr>
        <w:t>che</w:t>
      </w:r>
      <w:r w:rsidR="009F4D89" w:rsidRPr="009F4D89">
        <w:rPr>
          <w:rFonts w:ascii="Garamond" w:hAnsi="Garamond"/>
          <w:sz w:val="28"/>
          <w:szCs w:val="28"/>
        </w:rPr>
        <w:t>:</w:t>
      </w:r>
      <w:r w:rsidR="000C6FF6">
        <w:rPr>
          <w:rFonts w:ascii="Garamond" w:hAnsi="Garamond"/>
          <w:sz w:val="28"/>
          <w:szCs w:val="28"/>
        </w:rPr>
        <w:t xml:space="preserve"> </w:t>
      </w:r>
      <w:r w:rsidR="003A60D0" w:rsidRPr="000C6FF6">
        <w:rPr>
          <w:rFonts w:ascii="Garamond" w:hAnsi="Garamond"/>
          <w:i/>
          <w:iCs/>
          <w:sz w:val="28"/>
          <w:szCs w:val="28"/>
        </w:rPr>
        <w:t>“Lo stato legittimo dell</w:t>
      </w:r>
      <w:r w:rsidR="007B78C4">
        <w:rPr>
          <w:rFonts w:ascii="Garamond" w:hAnsi="Garamond"/>
          <w:i/>
          <w:iCs/>
          <w:sz w:val="28"/>
          <w:szCs w:val="28"/>
        </w:rPr>
        <w:t>’</w:t>
      </w:r>
      <w:r w:rsidR="003A60D0" w:rsidRPr="000C6FF6">
        <w:rPr>
          <w:rFonts w:ascii="Garamond" w:hAnsi="Garamond"/>
          <w:i/>
          <w:iCs/>
          <w:sz w:val="28"/>
          <w:szCs w:val="28"/>
        </w:rPr>
        <w:t>immobile o dell</w:t>
      </w:r>
      <w:r w:rsidR="007B78C4">
        <w:rPr>
          <w:rFonts w:ascii="Garamond" w:hAnsi="Garamond"/>
          <w:i/>
          <w:iCs/>
          <w:sz w:val="28"/>
          <w:szCs w:val="28"/>
        </w:rPr>
        <w:t>’</w:t>
      </w:r>
      <w:r w:rsidR="003A60D0" w:rsidRPr="000C6FF6">
        <w:rPr>
          <w:rFonts w:ascii="Garamond" w:hAnsi="Garamond"/>
          <w:i/>
          <w:iCs/>
          <w:sz w:val="28"/>
          <w:szCs w:val="28"/>
        </w:rPr>
        <w:t xml:space="preserve">unità immobiliare è quello stabilito dal </w:t>
      </w:r>
      <w:bookmarkStart w:id="0" w:name="_Hlk54167620"/>
      <w:r w:rsidR="003A60D0" w:rsidRPr="003F4B33">
        <w:rPr>
          <w:rFonts w:ascii="Garamond" w:hAnsi="Garamond"/>
          <w:i/>
          <w:iCs/>
          <w:sz w:val="28"/>
          <w:szCs w:val="28"/>
          <w:u w:val="single"/>
        </w:rPr>
        <w:t>titolo abilitativo</w:t>
      </w:r>
      <w:r w:rsidR="003A60D0" w:rsidRPr="000C6FF6">
        <w:rPr>
          <w:rFonts w:ascii="Garamond" w:hAnsi="Garamond"/>
          <w:i/>
          <w:iCs/>
          <w:sz w:val="28"/>
          <w:szCs w:val="28"/>
        </w:rPr>
        <w:t xml:space="preserve"> che ne ha previsto la costruzione o che ne ha legittimato la stessa e da quello che ha disciplinato </w:t>
      </w:r>
      <w:r w:rsidR="003A60D0" w:rsidRPr="003F4B33">
        <w:rPr>
          <w:rFonts w:ascii="Garamond" w:hAnsi="Garamond"/>
          <w:i/>
          <w:iCs/>
          <w:sz w:val="28"/>
          <w:szCs w:val="28"/>
          <w:u w:val="single"/>
        </w:rPr>
        <w:t>l</w:t>
      </w:r>
      <w:r w:rsidR="007B78C4" w:rsidRPr="003F4B33">
        <w:rPr>
          <w:rFonts w:ascii="Garamond" w:hAnsi="Garamond"/>
          <w:i/>
          <w:iCs/>
          <w:sz w:val="28"/>
          <w:szCs w:val="28"/>
          <w:u w:val="single"/>
        </w:rPr>
        <w:t>’</w:t>
      </w:r>
      <w:r w:rsidR="003A60D0" w:rsidRPr="003F4B33">
        <w:rPr>
          <w:rFonts w:ascii="Garamond" w:hAnsi="Garamond"/>
          <w:i/>
          <w:iCs/>
          <w:sz w:val="28"/>
          <w:szCs w:val="28"/>
          <w:u w:val="single"/>
        </w:rPr>
        <w:t>ultimo intervento edilizio che ha interessato l</w:t>
      </w:r>
      <w:r w:rsidR="007B78C4" w:rsidRPr="003F4B33">
        <w:rPr>
          <w:rFonts w:ascii="Garamond" w:hAnsi="Garamond"/>
          <w:i/>
          <w:iCs/>
          <w:sz w:val="28"/>
          <w:szCs w:val="28"/>
          <w:u w:val="single"/>
        </w:rPr>
        <w:t>’</w:t>
      </w:r>
      <w:r w:rsidR="003A60D0" w:rsidRPr="003F4B33">
        <w:rPr>
          <w:rFonts w:ascii="Garamond" w:hAnsi="Garamond"/>
          <w:i/>
          <w:iCs/>
          <w:sz w:val="28"/>
          <w:szCs w:val="28"/>
          <w:u w:val="single"/>
        </w:rPr>
        <w:t>intero immobile</w:t>
      </w:r>
      <w:r w:rsidR="003A60D0" w:rsidRPr="000C6FF6">
        <w:rPr>
          <w:rFonts w:ascii="Garamond" w:hAnsi="Garamond"/>
          <w:i/>
          <w:iCs/>
          <w:sz w:val="28"/>
          <w:szCs w:val="28"/>
        </w:rPr>
        <w:t xml:space="preserve"> o unità immobiliare, integrati con gli eventuali titoli successivi che hanno abilitato interventi parziali</w:t>
      </w:r>
      <w:bookmarkEnd w:id="0"/>
      <w:r w:rsidR="003A60D0" w:rsidRPr="000C6FF6">
        <w:rPr>
          <w:rFonts w:ascii="Garamond" w:hAnsi="Garamond"/>
          <w:i/>
          <w:iCs/>
          <w:sz w:val="28"/>
          <w:szCs w:val="28"/>
        </w:rPr>
        <w:t xml:space="preserve">. Per </w:t>
      </w:r>
      <w:r w:rsidR="003A60D0" w:rsidRPr="000C6FF6">
        <w:rPr>
          <w:rFonts w:ascii="Garamond" w:hAnsi="Garamond"/>
          <w:i/>
          <w:iCs/>
          <w:sz w:val="28"/>
          <w:szCs w:val="28"/>
        </w:rPr>
        <w:lastRenderedPageBreak/>
        <w:t xml:space="preserve">gli </w:t>
      </w:r>
      <w:bookmarkStart w:id="1" w:name="_Hlk54168212"/>
      <w:r w:rsidR="003A60D0" w:rsidRPr="000C6FF6">
        <w:rPr>
          <w:rFonts w:ascii="Garamond" w:hAnsi="Garamond"/>
          <w:i/>
          <w:iCs/>
          <w:sz w:val="28"/>
          <w:szCs w:val="28"/>
        </w:rPr>
        <w:t xml:space="preserve">immobili realizzati in </w:t>
      </w:r>
      <w:r w:rsidR="003A60D0" w:rsidRPr="003F4B33">
        <w:rPr>
          <w:rFonts w:ascii="Garamond" w:hAnsi="Garamond"/>
          <w:i/>
          <w:iCs/>
          <w:sz w:val="28"/>
          <w:szCs w:val="28"/>
          <w:u w:val="single"/>
        </w:rPr>
        <w:t>un</w:t>
      </w:r>
      <w:r w:rsidR="007B78C4" w:rsidRPr="003F4B33">
        <w:rPr>
          <w:rFonts w:ascii="Garamond" w:hAnsi="Garamond"/>
          <w:i/>
          <w:iCs/>
          <w:sz w:val="28"/>
          <w:szCs w:val="28"/>
          <w:u w:val="single"/>
        </w:rPr>
        <w:t>’</w:t>
      </w:r>
      <w:r w:rsidR="003A60D0" w:rsidRPr="003F4B33">
        <w:rPr>
          <w:rFonts w:ascii="Garamond" w:hAnsi="Garamond"/>
          <w:i/>
          <w:iCs/>
          <w:sz w:val="28"/>
          <w:szCs w:val="28"/>
          <w:u w:val="single"/>
        </w:rPr>
        <w:t>epoca nella quale non era obbligatorio acquisire il titolo abilitativo edilizio</w:t>
      </w:r>
      <w:bookmarkEnd w:id="1"/>
      <w:r w:rsidR="003A60D0" w:rsidRPr="000C6FF6">
        <w:rPr>
          <w:rFonts w:ascii="Garamond" w:hAnsi="Garamond"/>
          <w:i/>
          <w:iCs/>
          <w:sz w:val="28"/>
          <w:szCs w:val="28"/>
        </w:rPr>
        <w:t xml:space="preserve">, lo stato legittimo è quello desumibile dalle </w:t>
      </w:r>
      <w:r w:rsidR="003A60D0" w:rsidRPr="003F4B33">
        <w:rPr>
          <w:rFonts w:ascii="Garamond" w:hAnsi="Garamond"/>
          <w:i/>
          <w:iCs/>
          <w:sz w:val="28"/>
          <w:szCs w:val="28"/>
          <w:u w:val="single"/>
        </w:rPr>
        <w:t>informazioni catastali</w:t>
      </w:r>
      <w:r w:rsidR="003A60D0" w:rsidRPr="000C6FF6">
        <w:rPr>
          <w:rFonts w:ascii="Garamond" w:hAnsi="Garamond"/>
          <w:i/>
          <w:iCs/>
          <w:sz w:val="28"/>
          <w:szCs w:val="28"/>
        </w:rPr>
        <w:t xml:space="preserve"> di primo impianto, o da </w:t>
      </w:r>
      <w:r w:rsidR="003A60D0" w:rsidRPr="003F4B33">
        <w:rPr>
          <w:rFonts w:ascii="Garamond" w:hAnsi="Garamond"/>
          <w:i/>
          <w:iCs/>
          <w:sz w:val="28"/>
          <w:szCs w:val="28"/>
          <w:u w:val="single"/>
        </w:rPr>
        <w:t>altri documenti probanti</w:t>
      </w:r>
      <w:r w:rsidR="003A60D0" w:rsidRPr="000C6FF6">
        <w:rPr>
          <w:rFonts w:ascii="Garamond" w:hAnsi="Garamond"/>
          <w:i/>
          <w:iCs/>
          <w:sz w:val="28"/>
          <w:szCs w:val="28"/>
        </w:rPr>
        <w:t xml:space="preserve">, </w:t>
      </w:r>
      <w:r w:rsidR="003A60D0" w:rsidRPr="003F4B33">
        <w:rPr>
          <w:rFonts w:ascii="Garamond" w:hAnsi="Garamond"/>
          <w:i/>
          <w:iCs/>
          <w:sz w:val="28"/>
          <w:szCs w:val="28"/>
          <w:u w:val="single"/>
        </w:rPr>
        <w:t>quali le riprese fotografiche, gli estratti cartografici, i documenti d</w:t>
      </w:r>
      <w:r w:rsidR="007B78C4" w:rsidRPr="003F4B33">
        <w:rPr>
          <w:rFonts w:ascii="Garamond" w:hAnsi="Garamond"/>
          <w:i/>
          <w:iCs/>
          <w:sz w:val="28"/>
          <w:szCs w:val="28"/>
          <w:u w:val="single"/>
        </w:rPr>
        <w:t>’</w:t>
      </w:r>
      <w:r w:rsidR="003A60D0" w:rsidRPr="003F4B33">
        <w:rPr>
          <w:rFonts w:ascii="Garamond" w:hAnsi="Garamond"/>
          <w:i/>
          <w:iCs/>
          <w:sz w:val="28"/>
          <w:szCs w:val="28"/>
          <w:u w:val="single"/>
        </w:rPr>
        <w:t>archivio, o altro atto, pubblico o privato</w:t>
      </w:r>
      <w:r w:rsidR="003A60D0" w:rsidRPr="000C6FF6">
        <w:rPr>
          <w:rFonts w:ascii="Garamond" w:hAnsi="Garamond"/>
          <w:i/>
          <w:iCs/>
          <w:sz w:val="28"/>
          <w:szCs w:val="28"/>
        </w:rPr>
        <w:t xml:space="preserve">, di cui sia dimostrata la provenienza, </w:t>
      </w:r>
      <w:bookmarkStart w:id="2" w:name="_Hlk54171145"/>
      <w:r w:rsidR="003A60D0" w:rsidRPr="000C6FF6">
        <w:rPr>
          <w:rFonts w:ascii="Garamond" w:hAnsi="Garamond"/>
          <w:i/>
          <w:iCs/>
          <w:sz w:val="28"/>
          <w:szCs w:val="28"/>
        </w:rPr>
        <w:t>e dal titolo abilitativo che ha disciplinato l</w:t>
      </w:r>
      <w:r w:rsidR="007B78C4">
        <w:rPr>
          <w:rFonts w:ascii="Garamond" w:hAnsi="Garamond"/>
          <w:i/>
          <w:iCs/>
          <w:sz w:val="28"/>
          <w:szCs w:val="28"/>
        </w:rPr>
        <w:t>’</w:t>
      </w:r>
      <w:r w:rsidR="003A60D0" w:rsidRPr="000C6FF6">
        <w:rPr>
          <w:rFonts w:ascii="Garamond" w:hAnsi="Garamond"/>
          <w:i/>
          <w:iCs/>
          <w:sz w:val="28"/>
          <w:szCs w:val="28"/>
        </w:rPr>
        <w:t>ultimo intervento edilizio che ha interessato l</w:t>
      </w:r>
      <w:r w:rsidR="007B78C4">
        <w:rPr>
          <w:rFonts w:ascii="Garamond" w:hAnsi="Garamond"/>
          <w:i/>
          <w:iCs/>
          <w:sz w:val="28"/>
          <w:szCs w:val="28"/>
        </w:rPr>
        <w:t>’</w:t>
      </w:r>
      <w:r w:rsidR="003A60D0" w:rsidRPr="000C6FF6">
        <w:rPr>
          <w:rFonts w:ascii="Garamond" w:hAnsi="Garamond"/>
          <w:i/>
          <w:iCs/>
          <w:sz w:val="28"/>
          <w:szCs w:val="28"/>
        </w:rPr>
        <w:t>intero immobile o unità immobiliare, integrati con gli eventuali titoli successivi che hanno abilitato interventi parziali</w:t>
      </w:r>
      <w:bookmarkEnd w:id="2"/>
      <w:r w:rsidR="003A60D0" w:rsidRPr="000C6FF6">
        <w:rPr>
          <w:rFonts w:ascii="Garamond" w:hAnsi="Garamond"/>
          <w:i/>
          <w:iCs/>
          <w:sz w:val="28"/>
          <w:szCs w:val="28"/>
        </w:rPr>
        <w:t xml:space="preserve">. Le disposizioni di cui al secondo periodo si applicano altresì nei casi in cui sussista un </w:t>
      </w:r>
      <w:r w:rsidR="003A60D0" w:rsidRPr="003F4B33">
        <w:rPr>
          <w:rFonts w:ascii="Garamond" w:hAnsi="Garamond"/>
          <w:i/>
          <w:iCs/>
          <w:sz w:val="28"/>
          <w:szCs w:val="28"/>
          <w:u w:val="single"/>
        </w:rPr>
        <w:t>principio di prova del titolo abilitativo del quale, tuttavia, non sia disponibile copia</w:t>
      </w:r>
      <w:r w:rsidR="000C6FF6" w:rsidRPr="000C6FF6">
        <w:rPr>
          <w:rFonts w:ascii="Garamond" w:hAnsi="Garamond"/>
          <w:i/>
          <w:iCs/>
          <w:sz w:val="28"/>
          <w:szCs w:val="28"/>
        </w:rPr>
        <w:t>”</w:t>
      </w:r>
      <w:r w:rsidR="003A60D0" w:rsidRPr="003A60D0">
        <w:rPr>
          <w:rFonts w:ascii="Garamond" w:hAnsi="Garamond"/>
          <w:sz w:val="28"/>
          <w:szCs w:val="28"/>
        </w:rPr>
        <w:t>.</w:t>
      </w:r>
    </w:p>
    <w:p w14:paraId="60A30ADB" w14:textId="0F87B5B7" w:rsidR="00164172" w:rsidRPr="00164172" w:rsidRDefault="00164172" w:rsidP="00F71564">
      <w:pPr>
        <w:spacing w:line="360" w:lineRule="auto"/>
        <w:ind w:left="284" w:right="282"/>
        <w:jc w:val="both"/>
        <w:rPr>
          <w:rFonts w:ascii="Garamond" w:hAnsi="Garamond"/>
          <w:i/>
          <w:iCs/>
          <w:sz w:val="28"/>
          <w:szCs w:val="28"/>
        </w:rPr>
      </w:pPr>
      <w:r>
        <w:rPr>
          <w:rFonts w:ascii="Garamond" w:hAnsi="Garamond"/>
          <w:sz w:val="28"/>
          <w:szCs w:val="28"/>
        </w:rPr>
        <w:t>A ciò si aggiunga che ai sensi dell’art. 4 dell’</w:t>
      </w:r>
      <w:r w:rsidR="009F4D89" w:rsidRPr="009F4D89">
        <w:rPr>
          <w:rFonts w:ascii="Garamond" w:hAnsi="Garamond"/>
          <w:sz w:val="28"/>
          <w:szCs w:val="28"/>
        </w:rPr>
        <w:t xml:space="preserve">ordinanza </w:t>
      </w:r>
      <w:r>
        <w:rPr>
          <w:rFonts w:ascii="Garamond" w:hAnsi="Garamond"/>
          <w:sz w:val="28"/>
          <w:szCs w:val="28"/>
        </w:rPr>
        <w:t xml:space="preserve">del Commissario Straordinario n. </w:t>
      </w:r>
      <w:r w:rsidR="009F4D89" w:rsidRPr="009F4D89">
        <w:rPr>
          <w:rFonts w:ascii="Garamond" w:hAnsi="Garamond"/>
          <w:sz w:val="28"/>
          <w:szCs w:val="28"/>
        </w:rPr>
        <w:t>100/2020</w:t>
      </w:r>
      <w:r>
        <w:rPr>
          <w:rFonts w:ascii="Garamond" w:hAnsi="Garamond"/>
          <w:sz w:val="28"/>
          <w:szCs w:val="28"/>
        </w:rPr>
        <w:t xml:space="preserve">, rubricato </w:t>
      </w:r>
      <w:r w:rsidR="00F0373E">
        <w:rPr>
          <w:rFonts w:ascii="Garamond" w:hAnsi="Garamond"/>
          <w:sz w:val="28"/>
          <w:szCs w:val="28"/>
        </w:rPr>
        <w:t>“C</w:t>
      </w:r>
      <w:r>
        <w:rPr>
          <w:rFonts w:ascii="Garamond" w:hAnsi="Garamond"/>
          <w:sz w:val="28"/>
          <w:szCs w:val="28"/>
        </w:rPr>
        <w:t>ompiti del professionista</w:t>
      </w:r>
      <w:proofErr w:type="gramStart"/>
      <w:r w:rsidR="00F0373E">
        <w:rPr>
          <w:rFonts w:ascii="Garamond" w:hAnsi="Garamond"/>
          <w:sz w:val="28"/>
          <w:szCs w:val="28"/>
        </w:rPr>
        <w:t>”</w:t>
      </w:r>
      <w:r w:rsidR="009F4D89" w:rsidRPr="009F4D89">
        <w:rPr>
          <w:rFonts w:ascii="Garamond" w:hAnsi="Garamond"/>
          <w:sz w:val="28"/>
          <w:szCs w:val="28"/>
        </w:rPr>
        <w:t xml:space="preserve">: </w:t>
      </w:r>
      <w:r w:rsidR="00716F24">
        <w:rPr>
          <w:rFonts w:ascii="Garamond" w:hAnsi="Garamond"/>
          <w:sz w:val="28"/>
          <w:szCs w:val="28"/>
        </w:rPr>
        <w:t xml:space="preserve"> </w:t>
      </w:r>
      <w:r w:rsidRPr="00164172">
        <w:rPr>
          <w:rFonts w:ascii="Garamond" w:hAnsi="Garamond"/>
          <w:i/>
          <w:iCs/>
          <w:sz w:val="28"/>
          <w:szCs w:val="28"/>
        </w:rPr>
        <w:t>“</w:t>
      </w:r>
      <w:proofErr w:type="gramEnd"/>
      <w:r w:rsidRPr="00164172">
        <w:rPr>
          <w:rFonts w:ascii="Garamond" w:hAnsi="Garamond"/>
          <w:i/>
          <w:iCs/>
          <w:sz w:val="28"/>
          <w:szCs w:val="28"/>
        </w:rPr>
        <w:t>1. In relazione ai procedimenti di cui al comma 1 dell’art.</w:t>
      </w:r>
      <w:r w:rsidR="00A3495B">
        <w:rPr>
          <w:rFonts w:ascii="Garamond" w:hAnsi="Garamond"/>
          <w:i/>
          <w:iCs/>
          <w:sz w:val="28"/>
          <w:szCs w:val="28"/>
        </w:rPr>
        <w:t xml:space="preserve"> </w:t>
      </w:r>
      <w:r w:rsidRPr="00164172">
        <w:rPr>
          <w:rFonts w:ascii="Garamond" w:hAnsi="Garamond"/>
          <w:i/>
          <w:iCs/>
          <w:sz w:val="28"/>
          <w:szCs w:val="28"/>
        </w:rPr>
        <w:t xml:space="preserve">12-bis del </w:t>
      </w:r>
      <w:proofErr w:type="gramStart"/>
      <w:r w:rsidRPr="00164172">
        <w:rPr>
          <w:rFonts w:ascii="Garamond" w:hAnsi="Garamond"/>
          <w:i/>
          <w:iCs/>
          <w:sz w:val="28"/>
          <w:szCs w:val="28"/>
        </w:rPr>
        <w:t>decreto legge</w:t>
      </w:r>
      <w:proofErr w:type="gramEnd"/>
      <w:r w:rsidRPr="00164172">
        <w:rPr>
          <w:rFonts w:ascii="Garamond" w:hAnsi="Garamond"/>
          <w:i/>
          <w:iCs/>
          <w:sz w:val="28"/>
          <w:szCs w:val="28"/>
        </w:rPr>
        <w:t>, il professionista, che assume la qualità di persona esercente un servizio di pubblica necessità ai sensi dell’art. 29 comma 3, del DPR 380 del 2001, assevera e attesta sotto la propria responsabilità, ad ogni effetto di legge:</w:t>
      </w:r>
    </w:p>
    <w:p w14:paraId="7A45A803" w14:textId="707C1BCA" w:rsidR="00164172" w:rsidRPr="00164172" w:rsidRDefault="00164172" w:rsidP="00F71564">
      <w:pPr>
        <w:spacing w:line="360" w:lineRule="auto"/>
        <w:ind w:left="284" w:right="282"/>
        <w:jc w:val="both"/>
        <w:rPr>
          <w:rFonts w:ascii="Garamond" w:hAnsi="Garamond"/>
          <w:i/>
          <w:iCs/>
          <w:sz w:val="28"/>
          <w:szCs w:val="28"/>
        </w:rPr>
      </w:pPr>
      <w:r w:rsidRPr="00164172">
        <w:rPr>
          <w:rFonts w:ascii="Garamond" w:hAnsi="Garamond"/>
          <w:i/>
          <w:iCs/>
          <w:sz w:val="28"/>
          <w:szCs w:val="28"/>
        </w:rPr>
        <w:t>a)   la conformità edilizia del progetto attraverso la presentazione della SCIA, ai sensi del Capo III, Titolo II, Parte I del D.P.R. 6 giugno 2001, n. 380 o, ove occorrente, della domanda di rilascio del permesso di costruire, ai sensi del Titolo II, Parte I del D.P.R. 6 giugno 2001, n. 380 o del titolo unico ai sensi dell’articolo 7 del DPR 160 del 2010;</w:t>
      </w:r>
    </w:p>
    <w:p w14:paraId="31EE5334" w14:textId="6442F6D6" w:rsidR="00164172" w:rsidRPr="00164172" w:rsidRDefault="00164172" w:rsidP="00F71564">
      <w:pPr>
        <w:spacing w:line="360" w:lineRule="auto"/>
        <w:ind w:left="284" w:right="282"/>
        <w:jc w:val="both"/>
        <w:rPr>
          <w:rFonts w:ascii="Garamond" w:hAnsi="Garamond"/>
          <w:i/>
          <w:iCs/>
          <w:sz w:val="28"/>
          <w:szCs w:val="28"/>
        </w:rPr>
      </w:pPr>
      <w:r w:rsidRPr="00164172">
        <w:rPr>
          <w:rFonts w:ascii="Garamond" w:hAnsi="Garamond"/>
          <w:i/>
          <w:iCs/>
          <w:sz w:val="28"/>
          <w:szCs w:val="28"/>
        </w:rPr>
        <w:t>b)   la conformità urbanistica dell’intervento proposto, attraverso:</w:t>
      </w:r>
    </w:p>
    <w:p w14:paraId="152D44B4" w14:textId="780463A7" w:rsidR="00164172" w:rsidRPr="00164172" w:rsidRDefault="00164172" w:rsidP="00F71564">
      <w:pPr>
        <w:spacing w:line="360" w:lineRule="auto"/>
        <w:ind w:left="284" w:right="282"/>
        <w:jc w:val="both"/>
        <w:rPr>
          <w:rFonts w:ascii="Garamond" w:hAnsi="Garamond"/>
          <w:i/>
          <w:iCs/>
          <w:sz w:val="28"/>
          <w:szCs w:val="28"/>
        </w:rPr>
      </w:pPr>
      <w:r w:rsidRPr="00164172">
        <w:rPr>
          <w:rFonts w:ascii="Garamond" w:hAnsi="Garamond"/>
          <w:i/>
          <w:iCs/>
          <w:sz w:val="28"/>
          <w:szCs w:val="28"/>
        </w:rPr>
        <w:t xml:space="preserve">1.     copia dell’ultimo titolo edilizio del fabbricato oggetto dell’intervento, comunque risultante per atto pubblico ovvero un’attestazione, sulla base del modello indicato all’art. 15 della presente Ordinanza, che la costruzione dell’edificio è anteriore alla data </w:t>
      </w:r>
      <w:bookmarkStart w:id="3" w:name="_Hlk54177688"/>
      <w:r w:rsidRPr="00164172">
        <w:rPr>
          <w:rFonts w:ascii="Garamond" w:hAnsi="Garamond"/>
          <w:i/>
          <w:iCs/>
          <w:sz w:val="28"/>
          <w:szCs w:val="28"/>
        </w:rPr>
        <w:t>del 1^ settembre 1967 o del 17 agosto 1942 per gli immobili edificati nei centri abitati ove all’epoca prescritto un titolo edilizio</w:t>
      </w:r>
      <w:bookmarkEnd w:id="3"/>
      <w:r w:rsidRPr="00164172">
        <w:rPr>
          <w:rFonts w:ascii="Garamond" w:hAnsi="Garamond"/>
          <w:i/>
          <w:iCs/>
          <w:sz w:val="28"/>
          <w:szCs w:val="28"/>
        </w:rPr>
        <w:t>;</w:t>
      </w:r>
    </w:p>
    <w:p w14:paraId="27E02827" w14:textId="5B6FFDCB" w:rsidR="00164172" w:rsidRPr="00164172" w:rsidRDefault="00164172" w:rsidP="00F71564">
      <w:pPr>
        <w:spacing w:line="360" w:lineRule="auto"/>
        <w:ind w:left="284" w:right="282"/>
        <w:jc w:val="both"/>
        <w:rPr>
          <w:rFonts w:ascii="Garamond" w:hAnsi="Garamond"/>
          <w:i/>
          <w:iCs/>
          <w:sz w:val="28"/>
          <w:szCs w:val="28"/>
        </w:rPr>
      </w:pPr>
      <w:r w:rsidRPr="00164172">
        <w:rPr>
          <w:rFonts w:ascii="Garamond" w:hAnsi="Garamond"/>
          <w:i/>
          <w:iCs/>
          <w:sz w:val="28"/>
          <w:szCs w:val="28"/>
        </w:rPr>
        <w:lastRenderedPageBreak/>
        <w:t xml:space="preserve">2.    nulla osta, autorizzazioni e atti di assenso, comunque denominati, rilasciati direttamente al professionista o al titolare dell’intervento che ne fa richiesta alle Autorità competenti in presenza di vincoli di ogni natura, anche idrogeologici, relativi all’esecuzione dei lavori sull’edificio danneggiato dal sisma, o richiesta di convocazione della Conferenza regionale, ai sensi dell’art.12- bis, comma 1, del </w:t>
      </w:r>
      <w:proofErr w:type="gramStart"/>
      <w:r w:rsidRPr="00164172">
        <w:rPr>
          <w:rFonts w:ascii="Garamond" w:hAnsi="Garamond"/>
          <w:i/>
          <w:iCs/>
          <w:sz w:val="28"/>
          <w:szCs w:val="28"/>
        </w:rPr>
        <w:t>decreto legge</w:t>
      </w:r>
      <w:proofErr w:type="gramEnd"/>
      <w:r w:rsidRPr="00164172">
        <w:rPr>
          <w:rFonts w:ascii="Garamond" w:hAnsi="Garamond"/>
          <w:i/>
          <w:iCs/>
          <w:sz w:val="28"/>
          <w:szCs w:val="28"/>
        </w:rPr>
        <w:t>;</w:t>
      </w:r>
    </w:p>
    <w:p w14:paraId="59B76853" w14:textId="726845F6" w:rsidR="00164172" w:rsidRPr="00164172" w:rsidRDefault="00164172" w:rsidP="00F71564">
      <w:pPr>
        <w:spacing w:line="360" w:lineRule="auto"/>
        <w:ind w:left="284" w:right="282"/>
        <w:jc w:val="both"/>
        <w:rPr>
          <w:rFonts w:ascii="Garamond" w:hAnsi="Garamond"/>
          <w:i/>
          <w:iCs/>
          <w:sz w:val="28"/>
          <w:szCs w:val="28"/>
        </w:rPr>
      </w:pPr>
      <w:r w:rsidRPr="00164172">
        <w:rPr>
          <w:rFonts w:ascii="Garamond" w:hAnsi="Garamond"/>
          <w:i/>
          <w:iCs/>
          <w:sz w:val="28"/>
          <w:szCs w:val="28"/>
        </w:rPr>
        <w:t>3.     attestazione, secondo quanto previsto dall’art. 15 della presente Ordinanza, dell’Ufficio comunale competente da cui risulti che il fabbricato non è soggetto a procedimenti sanzionatori o a domande di sanatoria o condono edilizio. L’attestazione deve essere rilasciata da parte dell’Ufficio comunale competente nel termine di trenta giorni dalla presentazione della domanda, decorso il quale la domanda si intende assentita;</w:t>
      </w:r>
    </w:p>
    <w:p w14:paraId="3FC38F88" w14:textId="285EE417" w:rsidR="00164172" w:rsidRDefault="00164172" w:rsidP="00F71564">
      <w:pPr>
        <w:spacing w:line="360" w:lineRule="auto"/>
        <w:ind w:left="284" w:right="282"/>
        <w:jc w:val="both"/>
        <w:rPr>
          <w:rFonts w:ascii="Garamond" w:hAnsi="Garamond"/>
          <w:sz w:val="28"/>
          <w:szCs w:val="28"/>
        </w:rPr>
      </w:pPr>
      <w:r w:rsidRPr="00164172">
        <w:rPr>
          <w:rFonts w:ascii="Garamond" w:hAnsi="Garamond"/>
          <w:i/>
          <w:iCs/>
          <w:sz w:val="28"/>
          <w:szCs w:val="28"/>
        </w:rPr>
        <w:t>4.  scheda di conformità urbanistica attestante la legittima preesistenza dell’edificio danneggiato, ai sensi dei precedenti punti 1. e 3., e l’assenza di vincoli urbanistici di inedificabilità assoluta dell’area […]”</w:t>
      </w:r>
      <w:r>
        <w:rPr>
          <w:rFonts w:ascii="Garamond" w:hAnsi="Garamond"/>
          <w:sz w:val="28"/>
          <w:szCs w:val="28"/>
        </w:rPr>
        <w:t>.</w:t>
      </w:r>
    </w:p>
    <w:p w14:paraId="69FEA25B" w14:textId="77777777" w:rsidR="00C10BBC" w:rsidRDefault="009F4D89" w:rsidP="00F71564">
      <w:pPr>
        <w:spacing w:line="360" w:lineRule="auto"/>
        <w:ind w:left="284" w:right="282"/>
        <w:jc w:val="both"/>
        <w:rPr>
          <w:rFonts w:ascii="Garamond" w:hAnsi="Garamond"/>
          <w:sz w:val="28"/>
          <w:szCs w:val="28"/>
        </w:rPr>
      </w:pPr>
      <w:r w:rsidRPr="009F4D89">
        <w:rPr>
          <w:rFonts w:ascii="Garamond" w:hAnsi="Garamond"/>
          <w:sz w:val="28"/>
          <w:szCs w:val="28"/>
        </w:rPr>
        <w:t>Ciò richiamato e premesso, lo stato legittimo dell</w:t>
      </w:r>
      <w:r w:rsidR="00144528">
        <w:rPr>
          <w:rFonts w:ascii="Garamond" w:hAnsi="Garamond"/>
          <w:sz w:val="28"/>
          <w:szCs w:val="28"/>
        </w:rPr>
        <w:t>’</w:t>
      </w:r>
      <w:r w:rsidRPr="009F4D89">
        <w:rPr>
          <w:rFonts w:ascii="Garamond" w:hAnsi="Garamond"/>
          <w:sz w:val="28"/>
          <w:szCs w:val="28"/>
        </w:rPr>
        <w:t>immobile su cui si interviene ai fini della riparazione/ricostruzione può essere attestato</w:t>
      </w:r>
      <w:r w:rsidR="002B5144">
        <w:rPr>
          <w:rFonts w:ascii="Garamond" w:hAnsi="Garamond"/>
          <w:sz w:val="28"/>
          <w:szCs w:val="28"/>
        </w:rPr>
        <w:t xml:space="preserve"> ai sensi del citato art. 9 bis,</w:t>
      </w:r>
      <w:r w:rsidR="00144528">
        <w:rPr>
          <w:rFonts w:ascii="Garamond" w:hAnsi="Garamond"/>
          <w:sz w:val="28"/>
          <w:szCs w:val="28"/>
        </w:rPr>
        <w:t xml:space="preserve"> attraverso</w:t>
      </w:r>
      <w:r w:rsidR="002067AB">
        <w:rPr>
          <w:rFonts w:ascii="Garamond" w:hAnsi="Garamond"/>
          <w:sz w:val="28"/>
          <w:szCs w:val="28"/>
        </w:rPr>
        <w:t xml:space="preserve">: </w:t>
      </w:r>
    </w:p>
    <w:p w14:paraId="784195C4" w14:textId="491846E5" w:rsidR="00C10BBC" w:rsidRPr="00A30915" w:rsidRDefault="002067AB" w:rsidP="00F71564">
      <w:pPr>
        <w:spacing w:line="360" w:lineRule="auto"/>
        <w:ind w:left="284" w:right="282"/>
        <w:jc w:val="both"/>
        <w:rPr>
          <w:rFonts w:ascii="Garamond" w:hAnsi="Garamond"/>
          <w:b/>
          <w:bCs/>
          <w:sz w:val="28"/>
          <w:szCs w:val="28"/>
        </w:rPr>
      </w:pPr>
      <w:r w:rsidRPr="002067AB">
        <w:rPr>
          <w:rFonts w:ascii="Garamond" w:hAnsi="Garamond"/>
          <w:b/>
          <w:bCs/>
          <w:sz w:val="28"/>
          <w:szCs w:val="28"/>
        </w:rPr>
        <w:t>1)</w:t>
      </w:r>
      <w:r w:rsidR="00144528">
        <w:rPr>
          <w:rFonts w:ascii="Garamond" w:hAnsi="Garamond"/>
          <w:sz w:val="28"/>
          <w:szCs w:val="28"/>
        </w:rPr>
        <w:t xml:space="preserve"> la presentazione del </w:t>
      </w:r>
      <w:r w:rsidR="002B5144" w:rsidRPr="002B5144">
        <w:rPr>
          <w:rFonts w:ascii="Garamond" w:hAnsi="Garamond"/>
          <w:sz w:val="28"/>
          <w:szCs w:val="28"/>
        </w:rPr>
        <w:t>titolo abilitativo che ha previsto</w:t>
      </w:r>
      <w:r>
        <w:rPr>
          <w:rFonts w:ascii="Garamond" w:hAnsi="Garamond"/>
          <w:sz w:val="28"/>
          <w:szCs w:val="28"/>
        </w:rPr>
        <w:t xml:space="preserve"> o legittimato</w:t>
      </w:r>
      <w:r w:rsidR="002B5144" w:rsidRPr="002B5144">
        <w:rPr>
          <w:rFonts w:ascii="Garamond" w:hAnsi="Garamond"/>
          <w:sz w:val="28"/>
          <w:szCs w:val="28"/>
        </w:rPr>
        <w:t xml:space="preserve"> l</w:t>
      </w:r>
      <w:r w:rsidR="00FB4760">
        <w:rPr>
          <w:rFonts w:ascii="Garamond" w:hAnsi="Garamond"/>
          <w:sz w:val="28"/>
          <w:szCs w:val="28"/>
        </w:rPr>
        <w:t>’originaria</w:t>
      </w:r>
      <w:r w:rsidR="002B5144" w:rsidRPr="002B5144">
        <w:rPr>
          <w:rFonts w:ascii="Garamond" w:hAnsi="Garamond"/>
          <w:sz w:val="28"/>
          <w:szCs w:val="28"/>
        </w:rPr>
        <w:t xml:space="preserve"> costruzione </w:t>
      </w:r>
      <w:r>
        <w:rPr>
          <w:rFonts w:ascii="Garamond" w:hAnsi="Garamond"/>
          <w:sz w:val="28"/>
          <w:szCs w:val="28"/>
        </w:rPr>
        <w:t>dell’immobile</w:t>
      </w:r>
      <w:r w:rsidR="002B5144" w:rsidRPr="002B5144">
        <w:rPr>
          <w:rFonts w:ascii="Garamond" w:hAnsi="Garamond"/>
          <w:sz w:val="28"/>
          <w:szCs w:val="28"/>
        </w:rPr>
        <w:t xml:space="preserve"> </w:t>
      </w:r>
      <w:r w:rsidR="00C10BBC">
        <w:rPr>
          <w:rFonts w:ascii="Garamond" w:hAnsi="Garamond"/>
          <w:sz w:val="28"/>
          <w:szCs w:val="28"/>
        </w:rPr>
        <w:t>(unitamente</w:t>
      </w:r>
      <w:r w:rsidR="003D076A">
        <w:rPr>
          <w:rFonts w:ascii="Garamond" w:hAnsi="Garamond"/>
          <w:sz w:val="28"/>
          <w:szCs w:val="28"/>
        </w:rPr>
        <w:t>,</w:t>
      </w:r>
      <w:r w:rsidR="00C965C6">
        <w:rPr>
          <w:rFonts w:ascii="Garamond" w:hAnsi="Garamond"/>
          <w:sz w:val="28"/>
          <w:szCs w:val="28"/>
        </w:rPr>
        <w:t xml:space="preserve"> </w:t>
      </w:r>
      <w:r w:rsidR="00C965C6">
        <w:rPr>
          <w:rFonts w:ascii="Garamond" w:hAnsi="Garamond"/>
          <w:b/>
          <w:bCs/>
          <w:sz w:val="28"/>
          <w:szCs w:val="28"/>
        </w:rPr>
        <w:t xml:space="preserve"> </w:t>
      </w:r>
      <w:r w:rsidR="00C965C6" w:rsidRPr="00820AB9">
        <w:rPr>
          <w:rFonts w:ascii="Garamond" w:hAnsi="Garamond"/>
          <w:sz w:val="28"/>
          <w:szCs w:val="28"/>
        </w:rPr>
        <w:t>ove necessario</w:t>
      </w:r>
      <w:r w:rsidR="00C965C6">
        <w:rPr>
          <w:rFonts w:ascii="Garamond" w:hAnsi="Garamond"/>
          <w:b/>
          <w:bCs/>
          <w:sz w:val="28"/>
          <w:szCs w:val="28"/>
        </w:rPr>
        <w:t>,</w:t>
      </w:r>
      <w:r w:rsidR="00C10BBC">
        <w:rPr>
          <w:rFonts w:ascii="Garamond" w:hAnsi="Garamond"/>
          <w:sz w:val="28"/>
          <w:szCs w:val="28"/>
        </w:rPr>
        <w:t xml:space="preserve"> a </w:t>
      </w:r>
      <w:r w:rsidR="002B5144" w:rsidRPr="002B5144">
        <w:rPr>
          <w:rFonts w:ascii="Garamond" w:hAnsi="Garamond"/>
          <w:sz w:val="28"/>
          <w:szCs w:val="28"/>
        </w:rPr>
        <w:t xml:space="preserve">quello che ha disciplinato l’ultimo intervento edilizio che ha interessato </w:t>
      </w:r>
      <w:r w:rsidR="002A2878">
        <w:rPr>
          <w:rFonts w:ascii="Garamond" w:hAnsi="Garamond"/>
          <w:sz w:val="28"/>
          <w:szCs w:val="28"/>
        </w:rPr>
        <w:t>“</w:t>
      </w:r>
      <w:r w:rsidR="002B5144" w:rsidRPr="002B5144">
        <w:rPr>
          <w:rFonts w:ascii="Garamond" w:hAnsi="Garamond"/>
          <w:sz w:val="28"/>
          <w:szCs w:val="28"/>
        </w:rPr>
        <w:t>l’</w:t>
      </w:r>
      <w:r w:rsidR="00F71564">
        <w:rPr>
          <w:rFonts w:ascii="Garamond" w:hAnsi="Garamond"/>
          <w:sz w:val="28"/>
          <w:szCs w:val="28"/>
        </w:rPr>
        <w:t xml:space="preserve">intero </w:t>
      </w:r>
      <w:r w:rsidR="005D43B8">
        <w:rPr>
          <w:rFonts w:ascii="Garamond" w:hAnsi="Garamond"/>
          <w:sz w:val="28"/>
          <w:szCs w:val="28"/>
        </w:rPr>
        <w:t>immobile"</w:t>
      </w:r>
      <w:r w:rsidR="00C10BBC">
        <w:rPr>
          <w:rFonts w:ascii="Garamond" w:hAnsi="Garamond"/>
          <w:sz w:val="28"/>
          <w:szCs w:val="28"/>
        </w:rPr>
        <w:t>)</w:t>
      </w:r>
      <w:r>
        <w:rPr>
          <w:rFonts w:ascii="Garamond" w:hAnsi="Garamond"/>
          <w:sz w:val="28"/>
          <w:szCs w:val="28"/>
        </w:rPr>
        <w:t xml:space="preserve">; </w:t>
      </w:r>
      <w:r w:rsidR="00A30915" w:rsidRPr="00820AB9">
        <w:rPr>
          <w:rFonts w:ascii="Garamond" w:hAnsi="Garamond"/>
          <w:sz w:val="28"/>
          <w:szCs w:val="28"/>
        </w:rPr>
        <w:t xml:space="preserve">si precisa che, per titolo abilitativo, </w:t>
      </w:r>
      <w:r w:rsidR="0048592F" w:rsidRPr="00820AB9">
        <w:rPr>
          <w:rFonts w:ascii="Garamond" w:hAnsi="Garamond"/>
          <w:sz w:val="28"/>
          <w:szCs w:val="28"/>
        </w:rPr>
        <w:t xml:space="preserve">si intende il documento, pubblico o privato, da cui risulti </w:t>
      </w:r>
      <w:r w:rsidR="00501AAA" w:rsidRPr="00820AB9">
        <w:rPr>
          <w:rFonts w:ascii="Garamond" w:hAnsi="Garamond"/>
          <w:sz w:val="28"/>
          <w:szCs w:val="28"/>
        </w:rPr>
        <w:t>comunque una citazione di esso (ad es.</w:t>
      </w:r>
      <w:r w:rsidR="00195E22" w:rsidRPr="00820AB9">
        <w:rPr>
          <w:rFonts w:ascii="Garamond" w:hAnsi="Garamond"/>
          <w:sz w:val="28"/>
          <w:szCs w:val="28"/>
        </w:rPr>
        <w:t xml:space="preserve">: atti catastali, rogiti notarili, intestazione di bollette </w:t>
      </w:r>
      <w:r w:rsidR="006D02BF" w:rsidRPr="00820AB9">
        <w:rPr>
          <w:rFonts w:ascii="Garamond" w:hAnsi="Garamond"/>
          <w:sz w:val="28"/>
          <w:szCs w:val="28"/>
        </w:rPr>
        <w:t>nei contratti di somministrazione di acqua, gas, luce ecc..)</w:t>
      </w:r>
      <w:r w:rsidR="00E47FDF" w:rsidRPr="00820AB9">
        <w:rPr>
          <w:rFonts w:ascii="Garamond" w:hAnsi="Garamond"/>
          <w:sz w:val="28"/>
          <w:szCs w:val="28"/>
        </w:rPr>
        <w:t xml:space="preserve">, fermo il principio che il titolo abilitativo è un documento amministrativo in possesso </w:t>
      </w:r>
      <w:r w:rsidR="007F089E" w:rsidRPr="00820AB9">
        <w:rPr>
          <w:rFonts w:ascii="Garamond" w:hAnsi="Garamond"/>
          <w:sz w:val="28"/>
          <w:szCs w:val="28"/>
        </w:rPr>
        <w:t xml:space="preserve">delle pubbliche </w:t>
      </w:r>
      <w:r w:rsidR="007F089E" w:rsidRPr="00820AB9">
        <w:rPr>
          <w:rFonts w:ascii="Garamond" w:hAnsi="Garamond"/>
          <w:sz w:val="28"/>
          <w:szCs w:val="28"/>
        </w:rPr>
        <w:lastRenderedPageBreak/>
        <w:t xml:space="preserve">amministrazioni (in primo luogo, del comune) </w:t>
      </w:r>
      <w:r w:rsidR="002115E3" w:rsidRPr="00820AB9">
        <w:rPr>
          <w:rFonts w:ascii="Garamond" w:hAnsi="Garamond"/>
          <w:sz w:val="28"/>
          <w:szCs w:val="28"/>
        </w:rPr>
        <w:t xml:space="preserve">e che pertanto non può essere </w:t>
      </w:r>
      <w:r w:rsidR="00B50048" w:rsidRPr="00820AB9">
        <w:rPr>
          <w:rFonts w:ascii="Garamond" w:hAnsi="Garamond"/>
          <w:sz w:val="28"/>
          <w:szCs w:val="28"/>
        </w:rPr>
        <w:t xml:space="preserve">ulteriormente richiesto al cittadino, </w:t>
      </w:r>
      <w:r w:rsidR="001A189D" w:rsidRPr="00820AB9">
        <w:rPr>
          <w:rFonts w:ascii="Garamond" w:hAnsi="Garamond"/>
          <w:sz w:val="28"/>
          <w:szCs w:val="28"/>
        </w:rPr>
        <w:t xml:space="preserve">ai sensi degli </w:t>
      </w:r>
      <w:r w:rsidR="00F12956" w:rsidRPr="00820AB9">
        <w:rPr>
          <w:rFonts w:ascii="Garamond" w:hAnsi="Garamond"/>
          <w:sz w:val="28"/>
          <w:szCs w:val="28"/>
        </w:rPr>
        <w:t>artt. 2, comma</w:t>
      </w:r>
      <w:r w:rsidR="00B32BB7" w:rsidRPr="00820AB9">
        <w:rPr>
          <w:rFonts w:ascii="Garamond" w:hAnsi="Garamond"/>
          <w:sz w:val="28"/>
          <w:szCs w:val="28"/>
        </w:rPr>
        <w:t xml:space="preserve"> </w:t>
      </w:r>
      <w:r w:rsidR="00F12956" w:rsidRPr="00820AB9">
        <w:rPr>
          <w:rFonts w:ascii="Garamond" w:hAnsi="Garamond"/>
          <w:sz w:val="28"/>
          <w:szCs w:val="28"/>
        </w:rPr>
        <w:t>7</w:t>
      </w:r>
      <w:r w:rsidR="00820AB9">
        <w:rPr>
          <w:rFonts w:ascii="Garamond" w:hAnsi="Garamond"/>
          <w:sz w:val="28"/>
          <w:szCs w:val="28"/>
        </w:rPr>
        <w:t>,</w:t>
      </w:r>
      <w:r w:rsidR="00F12956" w:rsidRPr="00820AB9">
        <w:rPr>
          <w:rFonts w:ascii="Garamond" w:hAnsi="Garamond"/>
          <w:sz w:val="28"/>
          <w:szCs w:val="28"/>
        </w:rPr>
        <w:t xml:space="preserve"> </w:t>
      </w:r>
      <w:r w:rsidR="00B32BB7" w:rsidRPr="00820AB9">
        <w:rPr>
          <w:rFonts w:ascii="Garamond" w:hAnsi="Garamond"/>
          <w:sz w:val="28"/>
          <w:szCs w:val="28"/>
        </w:rPr>
        <w:t>e 18</w:t>
      </w:r>
      <w:r w:rsidR="00B65971" w:rsidRPr="00820AB9">
        <w:rPr>
          <w:rFonts w:ascii="Garamond" w:hAnsi="Garamond"/>
          <w:sz w:val="28"/>
          <w:szCs w:val="28"/>
        </w:rPr>
        <w:t>, comma 2,</w:t>
      </w:r>
      <w:r w:rsidR="00820AB9">
        <w:rPr>
          <w:rFonts w:ascii="Garamond" w:hAnsi="Garamond"/>
          <w:sz w:val="28"/>
          <w:szCs w:val="28"/>
        </w:rPr>
        <w:t xml:space="preserve"> della</w:t>
      </w:r>
      <w:r w:rsidR="003076FE" w:rsidRPr="00820AB9">
        <w:rPr>
          <w:rFonts w:ascii="Garamond" w:hAnsi="Garamond"/>
          <w:sz w:val="28"/>
          <w:szCs w:val="28"/>
        </w:rPr>
        <w:t xml:space="preserve"> </w:t>
      </w:r>
      <w:r w:rsidR="00521BD0" w:rsidRPr="00820AB9">
        <w:rPr>
          <w:rFonts w:ascii="Garamond" w:hAnsi="Garamond"/>
          <w:sz w:val="28"/>
          <w:szCs w:val="28"/>
        </w:rPr>
        <w:t>legge 241</w:t>
      </w:r>
      <w:r w:rsidR="00D76E3C" w:rsidRPr="00820AB9">
        <w:rPr>
          <w:rFonts w:ascii="Garamond" w:hAnsi="Garamond"/>
          <w:sz w:val="28"/>
          <w:szCs w:val="28"/>
        </w:rPr>
        <w:t>/1990 nonché dell</w:t>
      </w:r>
      <w:r w:rsidR="00820AB9">
        <w:rPr>
          <w:rFonts w:ascii="Garamond" w:hAnsi="Garamond"/>
          <w:sz w:val="28"/>
          <w:szCs w:val="28"/>
        </w:rPr>
        <w:t>’</w:t>
      </w:r>
      <w:r w:rsidR="00D76E3C" w:rsidRPr="00820AB9">
        <w:rPr>
          <w:rFonts w:ascii="Garamond" w:hAnsi="Garamond"/>
          <w:sz w:val="28"/>
          <w:szCs w:val="28"/>
        </w:rPr>
        <w:t>art.</w:t>
      </w:r>
      <w:r w:rsidR="001C0993" w:rsidRPr="00820AB9">
        <w:rPr>
          <w:rFonts w:ascii="Garamond" w:hAnsi="Garamond"/>
          <w:sz w:val="28"/>
          <w:szCs w:val="28"/>
        </w:rPr>
        <w:t xml:space="preserve"> 6, comma 3, dell</w:t>
      </w:r>
      <w:r w:rsidR="00820AB9">
        <w:rPr>
          <w:rFonts w:ascii="Garamond" w:hAnsi="Garamond"/>
          <w:sz w:val="28"/>
          <w:szCs w:val="28"/>
        </w:rPr>
        <w:t>’</w:t>
      </w:r>
      <w:r w:rsidR="001C0993" w:rsidRPr="00820AB9">
        <w:rPr>
          <w:rFonts w:ascii="Garamond" w:hAnsi="Garamond"/>
          <w:sz w:val="28"/>
          <w:szCs w:val="28"/>
        </w:rPr>
        <w:t>ordinanza 9 maggio 2020, n.100</w:t>
      </w:r>
      <w:r w:rsidR="00C312A5" w:rsidRPr="00820AB9">
        <w:rPr>
          <w:rFonts w:ascii="Garamond" w:hAnsi="Garamond"/>
          <w:sz w:val="28"/>
          <w:szCs w:val="28"/>
        </w:rPr>
        <w:t>;</w:t>
      </w:r>
      <w:r w:rsidR="00D76E3C">
        <w:rPr>
          <w:rFonts w:ascii="Garamond" w:hAnsi="Garamond"/>
          <w:b/>
          <w:bCs/>
          <w:sz w:val="28"/>
          <w:szCs w:val="28"/>
        </w:rPr>
        <w:t xml:space="preserve"> </w:t>
      </w:r>
    </w:p>
    <w:p w14:paraId="37E4FC3B" w14:textId="77777777" w:rsidR="00CF2A46" w:rsidRDefault="002067AB" w:rsidP="00F71564">
      <w:pPr>
        <w:spacing w:line="360" w:lineRule="auto"/>
        <w:ind w:left="284" w:right="282"/>
        <w:jc w:val="both"/>
        <w:rPr>
          <w:rFonts w:ascii="Garamond" w:hAnsi="Garamond"/>
          <w:sz w:val="28"/>
          <w:szCs w:val="28"/>
        </w:rPr>
      </w:pPr>
      <w:r w:rsidRPr="002067AB">
        <w:rPr>
          <w:rFonts w:ascii="Garamond" w:hAnsi="Garamond"/>
          <w:b/>
          <w:bCs/>
          <w:sz w:val="28"/>
          <w:szCs w:val="28"/>
        </w:rPr>
        <w:t>2)</w:t>
      </w:r>
      <w:r>
        <w:rPr>
          <w:rFonts w:ascii="Garamond" w:hAnsi="Garamond"/>
          <w:sz w:val="28"/>
          <w:szCs w:val="28"/>
        </w:rPr>
        <w:t xml:space="preserve"> per gli </w:t>
      </w:r>
      <w:r w:rsidRPr="002067AB">
        <w:rPr>
          <w:rFonts w:ascii="Garamond" w:hAnsi="Garamond"/>
          <w:sz w:val="28"/>
          <w:szCs w:val="28"/>
        </w:rPr>
        <w:t>immobili realizzati in un’epoca nella quale non era obbligatorio acquisire il titolo abilitativo edilizio</w:t>
      </w:r>
      <w:r>
        <w:rPr>
          <w:rFonts w:ascii="Garamond" w:hAnsi="Garamond"/>
          <w:sz w:val="28"/>
          <w:szCs w:val="28"/>
        </w:rPr>
        <w:t xml:space="preserve">, </w:t>
      </w:r>
      <w:r w:rsidR="00C10BBC">
        <w:rPr>
          <w:rFonts w:ascii="Garamond" w:hAnsi="Garamond"/>
          <w:sz w:val="28"/>
          <w:szCs w:val="28"/>
        </w:rPr>
        <w:t xml:space="preserve">ovvero </w:t>
      </w:r>
      <w:r w:rsidR="00FB4760">
        <w:rPr>
          <w:rFonts w:ascii="Garamond" w:hAnsi="Garamond"/>
          <w:sz w:val="28"/>
          <w:szCs w:val="28"/>
        </w:rPr>
        <w:t xml:space="preserve">(per immobili di realizzazione successiva) </w:t>
      </w:r>
      <w:r w:rsidR="00C10BBC">
        <w:rPr>
          <w:rFonts w:ascii="Garamond" w:hAnsi="Garamond"/>
          <w:sz w:val="28"/>
          <w:szCs w:val="28"/>
        </w:rPr>
        <w:t xml:space="preserve">nel caso in cui non sia disponibile copia del suddetto titolo ma di esso sussista un principio di prova, l’attestazione può avvenire </w:t>
      </w:r>
      <w:r>
        <w:rPr>
          <w:rFonts w:ascii="Garamond" w:hAnsi="Garamond"/>
          <w:sz w:val="28"/>
          <w:szCs w:val="28"/>
        </w:rPr>
        <w:t xml:space="preserve">attraverso la presentazione di informazioni catastali o </w:t>
      </w:r>
      <w:r w:rsidR="00FB4760">
        <w:rPr>
          <w:rFonts w:ascii="Garamond" w:hAnsi="Garamond"/>
          <w:sz w:val="28"/>
          <w:szCs w:val="28"/>
        </w:rPr>
        <w:t xml:space="preserve">di </w:t>
      </w:r>
      <w:r>
        <w:rPr>
          <w:rFonts w:ascii="Garamond" w:hAnsi="Garamond"/>
          <w:sz w:val="28"/>
          <w:szCs w:val="28"/>
        </w:rPr>
        <w:t>altri documenti probanti</w:t>
      </w:r>
      <w:r w:rsidR="00C10BBC">
        <w:rPr>
          <w:rFonts w:ascii="Garamond" w:hAnsi="Garamond"/>
          <w:sz w:val="28"/>
          <w:szCs w:val="28"/>
        </w:rPr>
        <w:t>,</w:t>
      </w:r>
      <w:r>
        <w:rPr>
          <w:rFonts w:ascii="Garamond" w:hAnsi="Garamond"/>
          <w:sz w:val="28"/>
          <w:szCs w:val="28"/>
        </w:rPr>
        <w:t xml:space="preserve"> pubblici o privati</w:t>
      </w:r>
      <w:r w:rsidR="00384898">
        <w:rPr>
          <w:rFonts w:ascii="Garamond" w:hAnsi="Garamond"/>
          <w:sz w:val="28"/>
          <w:szCs w:val="28"/>
        </w:rPr>
        <w:t xml:space="preserve">, </w:t>
      </w:r>
      <w:r>
        <w:rPr>
          <w:rFonts w:ascii="Garamond" w:hAnsi="Garamond"/>
          <w:sz w:val="28"/>
          <w:szCs w:val="28"/>
        </w:rPr>
        <w:t>anche di natura fotografica</w:t>
      </w:r>
      <w:r w:rsidR="00F71564">
        <w:rPr>
          <w:rFonts w:ascii="Garamond" w:hAnsi="Garamond"/>
          <w:sz w:val="28"/>
          <w:szCs w:val="28"/>
        </w:rPr>
        <w:t>, secondo quanto previsto dal secondo periodo del citato comma 1 bis</w:t>
      </w:r>
      <w:r w:rsidR="00BF353E">
        <w:rPr>
          <w:rFonts w:ascii="Garamond" w:hAnsi="Garamond"/>
          <w:sz w:val="28"/>
          <w:szCs w:val="28"/>
        </w:rPr>
        <w:t xml:space="preserve">. </w:t>
      </w:r>
    </w:p>
    <w:p w14:paraId="5E3C87C3" w14:textId="0C085D03" w:rsidR="009F4D89" w:rsidRDefault="00BF353E" w:rsidP="00F71564">
      <w:pPr>
        <w:spacing w:line="360" w:lineRule="auto"/>
        <w:ind w:left="284" w:right="282"/>
        <w:jc w:val="both"/>
        <w:rPr>
          <w:rFonts w:ascii="Garamond" w:hAnsi="Garamond"/>
          <w:sz w:val="28"/>
          <w:szCs w:val="28"/>
        </w:rPr>
      </w:pPr>
      <w:r>
        <w:rPr>
          <w:rFonts w:ascii="Garamond" w:hAnsi="Garamond"/>
          <w:sz w:val="28"/>
          <w:szCs w:val="28"/>
        </w:rPr>
        <w:t xml:space="preserve">In aggiunta </w:t>
      </w:r>
      <w:r w:rsidR="00384898">
        <w:rPr>
          <w:rFonts w:ascii="Garamond" w:hAnsi="Garamond"/>
          <w:sz w:val="28"/>
          <w:szCs w:val="28"/>
        </w:rPr>
        <w:t xml:space="preserve">- come nel caso precedente </w:t>
      </w:r>
      <w:r>
        <w:rPr>
          <w:rFonts w:ascii="Garamond" w:hAnsi="Garamond"/>
          <w:sz w:val="28"/>
          <w:szCs w:val="28"/>
        </w:rPr>
        <w:t>–</w:t>
      </w:r>
      <w:r w:rsidR="00384898" w:rsidRPr="00384898">
        <w:rPr>
          <w:rFonts w:ascii="Garamond" w:hAnsi="Garamond"/>
          <w:sz w:val="28"/>
          <w:szCs w:val="28"/>
        </w:rPr>
        <w:t xml:space="preserve"> </w:t>
      </w:r>
      <w:r>
        <w:rPr>
          <w:rFonts w:ascii="Garamond" w:hAnsi="Garamond"/>
          <w:sz w:val="28"/>
          <w:szCs w:val="28"/>
        </w:rPr>
        <w:t xml:space="preserve">dovrà essere fornito, </w:t>
      </w:r>
      <w:r w:rsidRPr="008E0160">
        <w:rPr>
          <w:rFonts w:ascii="Garamond" w:hAnsi="Garamond"/>
          <w:sz w:val="28"/>
          <w:szCs w:val="28"/>
        </w:rPr>
        <w:t>ove sussistente</w:t>
      </w:r>
      <w:r>
        <w:rPr>
          <w:rFonts w:ascii="Garamond" w:hAnsi="Garamond"/>
          <w:sz w:val="28"/>
          <w:szCs w:val="28"/>
        </w:rPr>
        <w:t>, i</w:t>
      </w:r>
      <w:r w:rsidR="00384898" w:rsidRPr="00384898">
        <w:rPr>
          <w:rFonts w:ascii="Garamond" w:hAnsi="Garamond"/>
          <w:sz w:val="28"/>
          <w:szCs w:val="28"/>
        </w:rPr>
        <w:t>l titolo abilitativo che ha disciplinato l’ultimo intervento edilizio che ha interessato l’immobile o</w:t>
      </w:r>
      <w:r w:rsidR="00FB4760">
        <w:rPr>
          <w:rFonts w:ascii="Garamond" w:hAnsi="Garamond"/>
          <w:sz w:val="28"/>
          <w:szCs w:val="28"/>
        </w:rPr>
        <w:t xml:space="preserve"> l’</w:t>
      </w:r>
      <w:r w:rsidR="00384898" w:rsidRPr="00384898">
        <w:rPr>
          <w:rFonts w:ascii="Garamond" w:hAnsi="Garamond"/>
          <w:sz w:val="28"/>
          <w:szCs w:val="28"/>
        </w:rPr>
        <w:t>unità immobiliare</w:t>
      </w:r>
      <w:r w:rsidR="00384898">
        <w:rPr>
          <w:rFonts w:ascii="Garamond" w:hAnsi="Garamond"/>
          <w:sz w:val="28"/>
          <w:szCs w:val="28"/>
        </w:rPr>
        <w:t>.</w:t>
      </w:r>
    </w:p>
    <w:p w14:paraId="25E0299F" w14:textId="05059CE1" w:rsidR="00384898" w:rsidRDefault="00384898" w:rsidP="00F71564">
      <w:pPr>
        <w:spacing w:line="360" w:lineRule="auto"/>
        <w:ind w:left="284" w:right="282"/>
        <w:jc w:val="both"/>
        <w:rPr>
          <w:rFonts w:ascii="Garamond" w:hAnsi="Garamond"/>
          <w:sz w:val="28"/>
          <w:szCs w:val="28"/>
        </w:rPr>
      </w:pPr>
      <w:r>
        <w:rPr>
          <w:rFonts w:ascii="Garamond" w:hAnsi="Garamond"/>
          <w:sz w:val="28"/>
          <w:szCs w:val="28"/>
        </w:rPr>
        <w:t>Siffatta previsione normativa</w:t>
      </w:r>
      <w:r w:rsidR="00BF353E">
        <w:rPr>
          <w:rFonts w:ascii="Garamond" w:hAnsi="Garamond"/>
          <w:sz w:val="28"/>
          <w:szCs w:val="28"/>
        </w:rPr>
        <w:t xml:space="preserve"> è da leggersi in uno con l’art. 4 della citata ordinanza n. 100/2020 che richiede al professionista di attestare la conformità urbanistica dell’</w:t>
      </w:r>
      <w:r w:rsidR="00FB4760">
        <w:rPr>
          <w:rFonts w:ascii="Garamond" w:hAnsi="Garamond"/>
          <w:sz w:val="28"/>
          <w:szCs w:val="28"/>
        </w:rPr>
        <w:t>edificio</w:t>
      </w:r>
      <w:r w:rsidR="00BF353E">
        <w:rPr>
          <w:rFonts w:ascii="Garamond" w:hAnsi="Garamond"/>
          <w:sz w:val="28"/>
          <w:szCs w:val="28"/>
        </w:rPr>
        <w:t xml:space="preserve"> tramite copia dell’ultimo titolo edilizio o</w:t>
      </w:r>
      <w:r w:rsidR="00C10BBC">
        <w:rPr>
          <w:rFonts w:ascii="Garamond" w:hAnsi="Garamond"/>
          <w:sz w:val="28"/>
          <w:szCs w:val="28"/>
        </w:rPr>
        <w:t xml:space="preserve"> tramite</w:t>
      </w:r>
      <w:r w:rsidR="00BF353E">
        <w:rPr>
          <w:rFonts w:ascii="Garamond" w:hAnsi="Garamond"/>
          <w:sz w:val="28"/>
          <w:szCs w:val="28"/>
        </w:rPr>
        <w:t xml:space="preserve"> attestazione che l’edificio sia stato realizzato in data</w:t>
      </w:r>
      <w:r w:rsidR="007D722C">
        <w:rPr>
          <w:rFonts w:ascii="Garamond" w:hAnsi="Garamond"/>
          <w:sz w:val="28"/>
          <w:szCs w:val="28"/>
        </w:rPr>
        <w:t xml:space="preserve"> antecedente</w:t>
      </w:r>
      <w:r w:rsidR="00BF353E">
        <w:rPr>
          <w:rFonts w:ascii="Garamond" w:hAnsi="Garamond"/>
          <w:sz w:val="28"/>
          <w:szCs w:val="28"/>
        </w:rPr>
        <w:t xml:space="preserve"> </w:t>
      </w:r>
      <w:r w:rsidR="007D722C">
        <w:rPr>
          <w:rFonts w:ascii="Garamond" w:hAnsi="Garamond"/>
          <w:sz w:val="28"/>
          <w:szCs w:val="28"/>
        </w:rPr>
        <w:t>a</w:t>
      </w:r>
      <w:r w:rsidR="007D722C" w:rsidRPr="007D722C">
        <w:rPr>
          <w:rFonts w:ascii="Garamond" w:hAnsi="Garamond"/>
          <w:sz w:val="28"/>
          <w:szCs w:val="28"/>
        </w:rPr>
        <w:t>l 1</w:t>
      </w:r>
      <w:r w:rsidR="007D722C">
        <w:rPr>
          <w:rFonts w:ascii="Garamond" w:hAnsi="Garamond"/>
          <w:sz w:val="28"/>
          <w:szCs w:val="28"/>
        </w:rPr>
        <w:t>°</w:t>
      </w:r>
      <w:r w:rsidR="007D722C" w:rsidRPr="007D722C">
        <w:rPr>
          <w:rFonts w:ascii="Garamond" w:hAnsi="Garamond"/>
          <w:sz w:val="28"/>
          <w:szCs w:val="28"/>
        </w:rPr>
        <w:t xml:space="preserve"> settembre 1967 o </w:t>
      </w:r>
      <w:r w:rsidR="007D722C">
        <w:rPr>
          <w:rFonts w:ascii="Garamond" w:hAnsi="Garamond"/>
          <w:sz w:val="28"/>
          <w:szCs w:val="28"/>
        </w:rPr>
        <w:t>al</w:t>
      </w:r>
      <w:r w:rsidR="007D722C" w:rsidRPr="007D722C">
        <w:rPr>
          <w:rFonts w:ascii="Garamond" w:hAnsi="Garamond"/>
          <w:sz w:val="28"/>
          <w:szCs w:val="28"/>
        </w:rPr>
        <w:t xml:space="preserve"> 17 agosto 1942 </w:t>
      </w:r>
      <w:r w:rsidR="00FB4760">
        <w:rPr>
          <w:rFonts w:ascii="Garamond" w:hAnsi="Garamond"/>
          <w:sz w:val="28"/>
          <w:szCs w:val="28"/>
        </w:rPr>
        <w:t>(</w:t>
      </w:r>
      <w:r w:rsidR="007D722C" w:rsidRPr="007D722C">
        <w:rPr>
          <w:rFonts w:ascii="Garamond" w:hAnsi="Garamond"/>
          <w:sz w:val="28"/>
          <w:szCs w:val="28"/>
        </w:rPr>
        <w:t>per gli immobili edificati nei centri abitati ove all’epoca prescritto un titolo edilizio</w:t>
      </w:r>
      <w:r w:rsidR="00FB4760">
        <w:rPr>
          <w:rFonts w:ascii="Garamond" w:hAnsi="Garamond"/>
          <w:sz w:val="28"/>
          <w:szCs w:val="28"/>
        </w:rPr>
        <w:t>)</w:t>
      </w:r>
      <w:r w:rsidR="007D722C">
        <w:rPr>
          <w:rFonts w:ascii="Garamond" w:hAnsi="Garamond"/>
          <w:sz w:val="28"/>
          <w:szCs w:val="28"/>
        </w:rPr>
        <w:t>.</w:t>
      </w:r>
    </w:p>
    <w:p w14:paraId="0FCC3B02" w14:textId="559E8098" w:rsidR="00265067" w:rsidRPr="0068071F" w:rsidRDefault="007D722C" w:rsidP="00F71564">
      <w:pPr>
        <w:spacing w:line="360" w:lineRule="auto"/>
        <w:ind w:left="284" w:right="282"/>
        <w:jc w:val="both"/>
        <w:rPr>
          <w:rFonts w:ascii="Garamond" w:hAnsi="Garamond"/>
          <w:b/>
          <w:bCs/>
          <w:sz w:val="28"/>
          <w:szCs w:val="28"/>
        </w:rPr>
      </w:pPr>
      <w:r>
        <w:rPr>
          <w:rFonts w:ascii="Garamond" w:hAnsi="Garamond"/>
          <w:sz w:val="28"/>
          <w:szCs w:val="28"/>
        </w:rPr>
        <w:t>Le due norme, pur non pienamente coincidenti nel contenuto, risultano</w:t>
      </w:r>
      <w:r w:rsidR="00C10BBC">
        <w:rPr>
          <w:rFonts w:ascii="Garamond" w:hAnsi="Garamond"/>
          <w:sz w:val="28"/>
          <w:szCs w:val="28"/>
        </w:rPr>
        <w:t xml:space="preserve"> integrarsi fra loro</w:t>
      </w:r>
      <w:r>
        <w:rPr>
          <w:rFonts w:ascii="Garamond" w:hAnsi="Garamond"/>
          <w:sz w:val="28"/>
          <w:szCs w:val="28"/>
        </w:rPr>
        <w:t xml:space="preserve"> </w:t>
      </w:r>
      <w:r w:rsidR="00265067">
        <w:rPr>
          <w:rFonts w:ascii="Garamond" w:hAnsi="Garamond"/>
          <w:sz w:val="28"/>
          <w:szCs w:val="28"/>
        </w:rPr>
        <w:t xml:space="preserve">in modo coerente, sì da </w:t>
      </w:r>
      <w:r>
        <w:rPr>
          <w:rFonts w:ascii="Garamond" w:hAnsi="Garamond"/>
          <w:sz w:val="28"/>
          <w:szCs w:val="28"/>
        </w:rPr>
        <w:t xml:space="preserve">definire </w:t>
      </w:r>
      <w:r w:rsidR="00265067">
        <w:rPr>
          <w:rFonts w:ascii="Garamond" w:hAnsi="Garamond"/>
          <w:sz w:val="28"/>
          <w:szCs w:val="28"/>
        </w:rPr>
        <w:t>con chiarezza</w:t>
      </w:r>
      <w:r>
        <w:rPr>
          <w:rFonts w:ascii="Garamond" w:hAnsi="Garamond"/>
          <w:sz w:val="28"/>
          <w:szCs w:val="28"/>
        </w:rPr>
        <w:t xml:space="preserve"> i compiti del professionista ai fini dell’attestazione di legittimità dell’immobile</w:t>
      </w:r>
      <w:r w:rsidR="00FB4760">
        <w:rPr>
          <w:rFonts w:ascii="Garamond" w:hAnsi="Garamond"/>
          <w:sz w:val="28"/>
          <w:szCs w:val="28"/>
        </w:rPr>
        <w:t xml:space="preserve"> da ricostruire/riparare</w:t>
      </w:r>
      <w:r w:rsidR="00F76D22">
        <w:rPr>
          <w:rFonts w:ascii="Garamond" w:hAnsi="Garamond"/>
          <w:sz w:val="28"/>
          <w:szCs w:val="28"/>
        </w:rPr>
        <w:t xml:space="preserve"> </w:t>
      </w:r>
      <w:r w:rsidR="0068071F" w:rsidRPr="00820AB9">
        <w:rPr>
          <w:rFonts w:ascii="Garamond" w:hAnsi="Garamond"/>
          <w:sz w:val="28"/>
          <w:szCs w:val="28"/>
        </w:rPr>
        <w:t>e della conformità urbanistica di esso.</w:t>
      </w:r>
    </w:p>
    <w:p w14:paraId="18F790DB" w14:textId="0EEA8022" w:rsidR="00AA2721" w:rsidRPr="00820AB9" w:rsidRDefault="00FB4760" w:rsidP="00F71564">
      <w:pPr>
        <w:spacing w:line="360" w:lineRule="auto"/>
        <w:ind w:left="284" w:right="282"/>
        <w:jc w:val="both"/>
        <w:rPr>
          <w:rFonts w:ascii="Garamond" w:hAnsi="Garamond"/>
          <w:sz w:val="28"/>
          <w:szCs w:val="28"/>
        </w:rPr>
      </w:pPr>
      <w:r>
        <w:rPr>
          <w:rFonts w:ascii="Garamond" w:hAnsi="Garamond"/>
          <w:sz w:val="28"/>
          <w:szCs w:val="28"/>
        </w:rPr>
        <w:lastRenderedPageBreak/>
        <w:t>In definitiva, dal</w:t>
      </w:r>
      <w:r w:rsidR="00CF2A46">
        <w:rPr>
          <w:rFonts w:ascii="Garamond" w:hAnsi="Garamond"/>
          <w:sz w:val="28"/>
          <w:szCs w:val="28"/>
        </w:rPr>
        <w:t>la lettura</w:t>
      </w:r>
      <w:r>
        <w:rPr>
          <w:rFonts w:ascii="Garamond" w:hAnsi="Garamond"/>
          <w:sz w:val="28"/>
          <w:szCs w:val="28"/>
        </w:rPr>
        <w:t xml:space="preserve"> combinat</w:t>
      </w:r>
      <w:r w:rsidR="00CF2A46">
        <w:rPr>
          <w:rFonts w:ascii="Garamond" w:hAnsi="Garamond"/>
          <w:sz w:val="28"/>
          <w:szCs w:val="28"/>
        </w:rPr>
        <w:t>a</w:t>
      </w:r>
      <w:r>
        <w:rPr>
          <w:rFonts w:ascii="Garamond" w:hAnsi="Garamond"/>
          <w:sz w:val="28"/>
          <w:szCs w:val="28"/>
        </w:rPr>
        <w:t xml:space="preserve"> delle due norme, </w:t>
      </w:r>
      <w:r w:rsidR="00CF2A46">
        <w:rPr>
          <w:rFonts w:ascii="Garamond" w:hAnsi="Garamond"/>
          <w:sz w:val="28"/>
          <w:szCs w:val="28"/>
        </w:rPr>
        <w:t>sembra corretto desumere</w:t>
      </w:r>
      <w:r>
        <w:rPr>
          <w:rFonts w:ascii="Garamond" w:hAnsi="Garamond"/>
          <w:sz w:val="28"/>
          <w:szCs w:val="28"/>
        </w:rPr>
        <w:t xml:space="preserve"> che l’attestazione di legittimità cui il professionista è chiamato può avvenire</w:t>
      </w:r>
      <w:r w:rsidR="00AA2721">
        <w:rPr>
          <w:rFonts w:ascii="Garamond" w:hAnsi="Garamond"/>
          <w:sz w:val="28"/>
          <w:szCs w:val="28"/>
        </w:rPr>
        <w:t xml:space="preserve"> tramite la presentazione del titolo edilizio, ovvero </w:t>
      </w:r>
      <w:r>
        <w:rPr>
          <w:rFonts w:ascii="Garamond" w:hAnsi="Garamond"/>
          <w:sz w:val="28"/>
          <w:szCs w:val="28"/>
        </w:rPr>
        <w:t>(</w:t>
      </w:r>
      <w:r w:rsidR="00AA2721">
        <w:rPr>
          <w:rFonts w:ascii="Garamond" w:hAnsi="Garamond"/>
          <w:sz w:val="28"/>
          <w:szCs w:val="28"/>
        </w:rPr>
        <w:t xml:space="preserve">per gli immobili edificati anteriormente all’1.09.1967 </w:t>
      </w:r>
      <w:r>
        <w:rPr>
          <w:rFonts w:ascii="Garamond" w:hAnsi="Garamond"/>
          <w:sz w:val="28"/>
          <w:szCs w:val="28"/>
        </w:rPr>
        <w:t>o nei casi in cui non sia disponibile la copia del titolo ma ne sussista un principio di prova</w:t>
      </w:r>
      <w:r w:rsidR="00AA2721">
        <w:rPr>
          <w:rFonts w:ascii="Garamond" w:hAnsi="Garamond"/>
          <w:sz w:val="28"/>
          <w:szCs w:val="28"/>
        </w:rPr>
        <w:t>)</w:t>
      </w:r>
      <w:r>
        <w:rPr>
          <w:rFonts w:ascii="Garamond" w:hAnsi="Garamond"/>
          <w:sz w:val="28"/>
          <w:szCs w:val="28"/>
        </w:rPr>
        <w:t xml:space="preserve"> tramite gli ulte</w:t>
      </w:r>
      <w:r w:rsidR="005B0362">
        <w:rPr>
          <w:rFonts w:ascii="Garamond" w:hAnsi="Garamond"/>
          <w:sz w:val="28"/>
          <w:szCs w:val="28"/>
        </w:rPr>
        <w:t>r</w:t>
      </w:r>
      <w:r>
        <w:rPr>
          <w:rFonts w:ascii="Garamond" w:hAnsi="Garamond"/>
          <w:sz w:val="28"/>
          <w:szCs w:val="28"/>
        </w:rPr>
        <w:t>iori atti e documenti</w:t>
      </w:r>
      <w:r w:rsidR="00CF2A46">
        <w:rPr>
          <w:rFonts w:ascii="Garamond" w:hAnsi="Garamond"/>
          <w:sz w:val="28"/>
          <w:szCs w:val="28"/>
        </w:rPr>
        <w:t>, anche di natura privata,</w:t>
      </w:r>
      <w:r>
        <w:rPr>
          <w:rFonts w:ascii="Garamond" w:hAnsi="Garamond"/>
          <w:sz w:val="28"/>
          <w:szCs w:val="28"/>
        </w:rPr>
        <w:t xml:space="preserve"> indicati dal secondo periodo dell’art. 9 bis, comma 1 bis, </w:t>
      </w:r>
      <w:r w:rsidR="005B0362">
        <w:rPr>
          <w:rFonts w:ascii="Garamond" w:hAnsi="Garamond"/>
          <w:sz w:val="28"/>
          <w:szCs w:val="28"/>
        </w:rPr>
        <w:t xml:space="preserve">del </w:t>
      </w:r>
      <w:r>
        <w:rPr>
          <w:rFonts w:ascii="Garamond" w:hAnsi="Garamond"/>
          <w:sz w:val="28"/>
          <w:szCs w:val="28"/>
        </w:rPr>
        <w:t xml:space="preserve">TU </w:t>
      </w:r>
      <w:r w:rsidRPr="00820AB9">
        <w:rPr>
          <w:rFonts w:ascii="Garamond" w:hAnsi="Garamond"/>
          <w:sz w:val="28"/>
          <w:szCs w:val="28"/>
        </w:rPr>
        <w:t>Edilizia</w:t>
      </w:r>
      <w:r w:rsidR="00D92DA7" w:rsidRPr="00820AB9">
        <w:rPr>
          <w:rFonts w:ascii="Garamond" w:hAnsi="Garamond"/>
          <w:sz w:val="28"/>
          <w:szCs w:val="28"/>
        </w:rPr>
        <w:t xml:space="preserve"> oppure</w:t>
      </w:r>
      <w:r w:rsidR="009F4423" w:rsidRPr="00820AB9">
        <w:rPr>
          <w:rFonts w:ascii="Garamond" w:hAnsi="Garamond"/>
          <w:sz w:val="28"/>
          <w:szCs w:val="28"/>
        </w:rPr>
        <w:t xml:space="preserve"> tramite la previsione </w:t>
      </w:r>
      <w:r w:rsidR="00DE0502" w:rsidRPr="00820AB9">
        <w:rPr>
          <w:rFonts w:ascii="Garamond" w:hAnsi="Garamond"/>
          <w:sz w:val="28"/>
          <w:szCs w:val="28"/>
        </w:rPr>
        <w:t>dell</w:t>
      </w:r>
      <w:r w:rsidR="00820AB9">
        <w:rPr>
          <w:rFonts w:ascii="Garamond" w:hAnsi="Garamond"/>
          <w:sz w:val="28"/>
          <w:szCs w:val="28"/>
        </w:rPr>
        <w:t>’</w:t>
      </w:r>
      <w:r w:rsidR="00DE0502" w:rsidRPr="00820AB9">
        <w:rPr>
          <w:rFonts w:ascii="Garamond" w:hAnsi="Garamond"/>
          <w:sz w:val="28"/>
          <w:szCs w:val="28"/>
        </w:rPr>
        <w:t>art. 4, comma 1</w:t>
      </w:r>
      <w:r w:rsidR="00820AB9">
        <w:rPr>
          <w:rFonts w:ascii="Garamond" w:hAnsi="Garamond"/>
          <w:sz w:val="28"/>
          <w:szCs w:val="28"/>
        </w:rPr>
        <w:t>,</w:t>
      </w:r>
      <w:r w:rsidR="00DE0502" w:rsidRPr="00820AB9">
        <w:rPr>
          <w:rFonts w:ascii="Garamond" w:hAnsi="Garamond"/>
          <w:sz w:val="28"/>
          <w:szCs w:val="28"/>
        </w:rPr>
        <w:t xml:space="preserve"> dell'ordinanza</w:t>
      </w:r>
      <w:r w:rsidR="00820AB9">
        <w:rPr>
          <w:rFonts w:ascii="Garamond" w:hAnsi="Garamond"/>
          <w:sz w:val="28"/>
          <w:szCs w:val="28"/>
        </w:rPr>
        <w:t xml:space="preserve"> n.</w:t>
      </w:r>
      <w:r w:rsidR="00DE0502" w:rsidRPr="00820AB9">
        <w:rPr>
          <w:rFonts w:ascii="Garamond" w:hAnsi="Garamond"/>
          <w:sz w:val="28"/>
          <w:szCs w:val="28"/>
        </w:rPr>
        <w:t xml:space="preserve"> 100</w:t>
      </w:r>
      <w:r w:rsidR="0098046F" w:rsidRPr="00820AB9">
        <w:rPr>
          <w:rFonts w:ascii="Garamond" w:hAnsi="Garamond"/>
          <w:sz w:val="28"/>
          <w:szCs w:val="28"/>
        </w:rPr>
        <w:t>/2020</w:t>
      </w:r>
      <w:r w:rsidR="00820AB9">
        <w:rPr>
          <w:rFonts w:ascii="Garamond" w:hAnsi="Garamond"/>
          <w:sz w:val="28"/>
          <w:szCs w:val="28"/>
        </w:rPr>
        <w:t>.</w:t>
      </w:r>
      <w:r w:rsidR="0098046F" w:rsidRPr="00820AB9">
        <w:rPr>
          <w:rFonts w:ascii="Garamond" w:hAnsi="Garamond"/>
          <w:sz w:val="28"/>
          <w:szCs w:val="28"/>
        </w:rPr>
        <w:t xml:space="preserve"> </w:t>
      </w:r>
    </w:p>
    <w:p w14:paraId="3A4D331A" w14:textId="509725D7" w:rsidR="005B0362" w:rsidRDefault="005B0362" w:rsidP="00F71564">
      <w:pPr>
        <w:spacing w:line="360" w:lineRule="auto"/>
        <w:ind w:left="284" w:right="282"/>
        <w:jc w:val="both"/>
        <w:rPr>
          <w:rFonts w:ascii="Garamond" w:hAnsi="Garamond"/>
          <w:sz w:val="28"/>
          <w:szCs w:val="28"/>
        </w:rPr>
      </w:pPr>
      <w:r>
        <w:rPr>
          <w:rFonts w:ascii="Garamond" w:hAnsi="Garamond"/>
          <w:sz w:val="28"/>
          <w:szCs w:val="28"/>
        </w:rPr>
        <w:t xml:space="preserve">Ogni diversa e più ampia attività certificativa eventualmente </w:t>
      </w:r>
      <w:r w:rsidR="003911AF" w:rsidRPr="00820AB9">
        <w:rPr>
          <w:rFonts w:ascii="Garamond" w:hAnsi="Garamond"/>
          <w:sz w:val="28"/>
          <w:szCs w:val="28"/>
        </w:rPr>
        <w:t>pretesa</w:t>
      </w:r>
      <w:r>
        <w:rPr>
          <w:rFonts w:ascii="Garamond" w:hAnsi="Garamond"/>
          <w:sz w:val="28"/>
          <w:szCs w:val="28"/>
        </w:rPr>
        <w:t xml:space="preserve"> dai competenti uffici comunali appare in contrasto con le richiamate previsioni normative, posto che il fine dell’attestazione demandata al professionista nell’ambito della ricostruzione post sisma non è quello di verificare </w:t>
      </w:r>
      <w:r w:rsidRPr="005B0362">
        <w:rPr>
          <w:rFonts w:ascii="Garamond" w:hAnsi="Garamond"/>
          <w:i/>
          <w:iCs/>
          <w:sz w:val="28"/>
          <w:szCs w:val="28"/>
        </w:rPr>
        <w:t>ab origine</w:t>
      </w:r>
      <w:r>
        <w:rPr>
          <w:rFonts w:ascii="Garamond" w:hAnsi="Garamond"/>
          <w:sz w:val="28"/>
          <w:szCs w:val="28"/>
        </w:rPr>
        <w:t xml:space="preserve"> la legittima realizzazione dell’immobile quanto piuttosto quello di certificarne la legittima permanenza al momento degli eventi calamitosi del 2016.</w:t>
      </w:r>
    </w:p>
    <w:p w14:paraId="51939514" w14:textId="2D09629C" w:rsidR="00A1099F" w:rsidRDefault="00A1099F" w:rsidP="00F71564">
      <w:pPr>
        <w:spacing w:line="360" w:lineRule="auto"/>
        <w:ind w:left="284" w:right="282"/>
        <w:jc w:val="both"/>
        <w:rPr>
          <w:rFonts w:ascii="Garamond" w:hAnsi="Garamond"/>
          <w:sz w:val="28"/>
          <w:szCs w:val="28"/>
        </w:rPr>
      </w:pPr>
      <w:r w:rsidRPr="00C75463">
        <w:rPr>
          <w:rFonts w:ascii="Garamond" w:hAnsi="Garamond"/>
          <w:sz w:val="28"/>
          <w:szCs w:val="28"/>
        </w:rPr>
        <w:t xml:space="preserve">Così come, alla stessa stregua, non è necessario, né può essere richiesto al professionista, ai fini dell’attestazione dello stato legittimo dell’immobile, lo svolgimento di un’apposita indagine attraverso la ricerca e l’esame, presso gli uffici comunali, di tutti i documenti e di tutte le pratiche edilizie che abbiano interessato nel tempo l’immobile, essendo per legge sufficiente, al fine della suddetta attestazione, l’allegazione degli elementi di prova sopra indicati. Sarà poi onere dell’Amministrazione, se del caso e ove ne ricorrano i presupposti, contestare o replicare sullo stato legittimo, sulla base di eventuale documentazione in proprio possesso, senza che ciò possa, deve peraltro chiarirsi, in alcun modo tradursi in una qualche forma di responsabilità del professionista, né nei confronti dell’Amministrazione, né nei confronti del privato committente, non essendo dalla </w:t>
      </w:r>
      <w:r w:rsidRPr="00C75463">
        <w:rPr>
          <w:rFonts w:ascii="Garamond" w:hAnsi="Garamond"/>
          <w:sz w:val="28"/>
          <w:szCs w:val="28"/>
        </w:rPr>
        <w:lastRenderedPageBreak/>
        <w:t>legge, si ripete, richiesta al professionista altra attività se non quella, nella norma stessa puntualmente specificata, di reperire (già presso il medesimo privato committente) quegli elementi di prova elencati nell’art. 9 bis, comma 1 bis, del d.P.R. n. 380 del 2001 e nell’art. 4 dell’ordinanza n. 200 del 2020.</w:t>
      </w:r>
    </w:p>
    <w:p w14:paraId="7DB22089" w14:textId="07D38E3A" w:rsidR="005B0362" w:rsidRDefault="005B0362" w:rsidP="00F71564">
      <w:pPr>
        <w:spacing w:line="360" w:lineRule="auto"/>
        <w:ind w:left="284" w:right="282"/>
        <w:jc w:val="both"/>
        <w:rPr>
          <w:rFonts w:ascii="Garamond" w:hAnsi="Garamond"/>
          <w:sz w:val="28"/>
          <w:szCs w:val="28"/>
        </w:rPr>
      </w:pPr>
      <w:r>
        <w:rPr>
          <w:rFonts w:ascii="Garamond" w:hAnsi="Garamond"/>
          <w:sz w:val="28"/>
          <w:szCs w:val="28"/>
        </w:rPr>
        <w:t>Resta inteso che, in applicazione del citato art. 4</w:t>
      </w:r>
      <w:r w:rsidR="003911AF">
        <w:rPr>
          <w:rFonts w:ascii="Garamond" w:hAnsi="Garamond"/>
          <w:sz w:val="28"/>
          <w:szCs w:val="28"/>
        </w:rPr>
        <w:t xml:space="preserve"> </w:t>
      </w:r>
      <w:r w:rsidR="003911AF" w:rsidRPr="00FB537A">
        <w:rPr>
          <w:rFonts w:ascii="Garamond" w:hAnsi="Garamond"/>
          <w:sz w:val="28"/>
          <w:szCs w:val="28"/>
        </w:rPr>
        <w:t>dell’ordinanza</w:t>
      </w:r>
      <w:r w:rsidR="00FB537A">
        <w:rPr>
          <w:rFonts w:ascii="Garamond" w:hAnsi="Garamond"/>
          <w:sz w:val="28"/>
          <w:szCs w:val="28"/>
        </w:rPr>
        <w:t xml:space="preserve"> n.</w:t>
      </w:r>
      <w:r w:rsidR="003911AF" w:rsidRPr="00FB537A">
        <w:rPr>
          <w:rFonts w:ascii="Garamond" w:hAnsi="Garamond"/>
          <w:sz w:val="28"/>
          <w:szCs w:val="28"/>
        </w:rPr>
        <w:t xml:space="preserve"> 100/2020</w:t>
      </w:r>
      <w:r>
        <w:rPr>
          <w:rFonts w:ascii="Garamond" w:hAnsi="Garamond"/>
          <w:sz w:val="28"/>
          <w:szCs w:val="28"/>
        </w:rPr>
        <w:t xml:space="preserve"> il professionista </w:t>
      </w:r>
      <w:r w:rsidR="00FF349D">
        <w:rPr>
          <w:rFonts w:ascii="Garamond" w:hAnsi="Garamond"/>
          <w:sz w:val="28"/>
          <w:szCs w:val="28"/>
        </w:rPr>
        <w:t>è</w:t>
      </w:r>
      <w:r>
        <w:rPr>
          <w:rFonts w:ascii="Garamond" w:hAnsi="Garamond"/>
          <w:sz w:val="28"/>
          <w:szCs w:val="28"/>
        </w:rPr>
        <w:t xml:space="preserve"> chiamato ad attestare </w:t>
      </w:r>
      <w:r w:rsidR="00FF349D">
        <w:rPr>
          <w:rFonts w:ascii="Garamond" w:hAnsi="Garamond"/>
          <w:sz w:val="28"/>
          <w:szCs w:val="28"/>
        </w:rPr>
        <w:t xml:space="preserve">altresì </w:t>
      </w:r>
      <w:r>
        <w:rPr>
          <w:rFonts w:ascii="Garamond" w:hAnsi="Garamond"/>
          <w:sz w:val="28"/>
          <w:szCs w:val="28"/>
        </w:rPr>
        <w:t xml:space="preserve">che l’immobile non sia interessato da procedimenti </w:t>
      </w:r>
      <w:r w:rsidRPr="00FB537A">
        <w:rPr>
          <w:rFonts w:ascii="Garamond" w:hAnsi="Garamond"/>
          <w:sz w:val="28"/>
          <w:szCs w:val="28"/>
        </w:rPr>
        <w:t>sanzionatori</w:t>
      </w:r>
      <w:r w:rsidR="00FF349D" w:rsidRPr="00FB537A">
        <w:rPr>
          <w:rFonts w:ascii="Garamond" w:hAnsi="Garamond"/>
          <w:sz w:val="28"/>
          <w:szCs w:val="28"/>
        </w:rPr>
        <w:t xml:space="preserve"> </w:t>
      </w:r>
      <w:r w:rsidR="008334B9" w:rsidRPr="00FB537A">
        <w:rPr>
          <w:rFonts w:ascii="Garamond" w:hAnsi="Garamond"/>
          <w:sz w:val="28"/>
          <w:szCs w:val="28"/>
        </w:rPr>
        <w:t>per gli abusi</w:t>
      </w:r>
      <w:r w:rsidR="00E62F18" w:rsidRPr="00FB537A">
        <w:rPr>
          <w:rFonts w:ascii="Garamond" w:hAnsi="Garamond"/>
          <w:sz w:val="28"/>
          <w:szCs w:val="28"/>
        </w:rPr>
        <w:t xml:space="preserve"> gravi</w:t>
      </w:r>
      <w:r w:rsidR="008334B9" w:rsidRPr="00FB537A">
        <w:rPr>
          <w:rFonts w:ascii="Garamond" w:hAnsi="Garamond"/>
          <w:sz w:val="28"/>
          <w:szCs w:val="28"/>
        </w:rPr>
        <w:t xml:space="preserve"> di cui all'art.31 </w:t>
      </w:r>
      <w:r w:rsidR="00E62F18" w:rsidRPr="00FB537A">
        <w:rPr>
          <w:rFonts w:ascii="Garamond" w:hAnsi="Garamond"/>
          <w:sz w:val="28"/>
          <w:szCs w:val="28"/>
        </w:rPr>
        <w:t>del DPR 380/2001, con eventuale ordinanza di demolizione,</w:t>
      </w:r>
      <w:r w:rsidR="00E62F18">
        <w:rPr>
          <w:rFonts w:ascii="Garamond" w:hAnsi="Garamond"/>
          <w:b/>
          <w:bCs/>
          <w:sz w:val="28"/>
          <w:szCs w:val="28"/>
        </w:rPr>
        <w:t xml:space="preserve"> </w:t>
      </w:r>
      <w:r w:rsidR="00CF2A46">
        <w:rPr>
          <w:rFonts w:ascii="Garamond" w:hAnsi="Garamond"/>
          <w:sz w:val="28"/>
          <w:szCs w:val="28"/>
        </w:rPr>
        <w:t xml:space="preserve"> </w:t>
      </w:r>
      <w:r w:rsidR="00FF349D">
        <w:rPr>
          <w:rFonts w:ascii="Garamond" w:hAnsi="Garamond"/>
          <w:sz w:val="28"/>
          <w:szCs w:val="28"/>
        </w:rPr>
        <w:t>o soggetto a domande di sanatoria o a condono edilizio</w:t>
      </w:r>
      <w:r w:rsidR="0044096A">
        <w:rPr>
          <w:rFonts w:ascii="Garamond" w:hAnsi="Garamond"/>
          <w:sz w:val="28"/>
          <w:szCs w:val="28"/>
        </w:rPr>
        <w:t xml:space="preserve"> </w:t>
      </w:r>
      <w:r w:rsidR="0044096A" w:rsidRPr="00FB537A">
        <w:rPr>
          <w:rFonts w:ascii="Garamond" w:hAnsi="Garamond"/>
          <w:sz w:val="28"/>
          <w:szCs w:val="28"/>
        </w:rPr>
        <w:t>per i medesimi abusi</w:t>
      </w:r>
      <w:r w:rsidR="0044096A">
        <w:rPr>
          <w:rFonts w:ascii="Garamond" w:hAnsi="Garamond"/>
          <w:b/>
          <w:bCs/>
          <w:sz w:val="28"/>
          <w:szCs w:val="28"/>
        </w:rPr>
        <w:t xml:space="preserve">, </w:t>
      </w:r>
      <w:r w:rsidR="00FF349D">
        <w:rPr>
          <w:rFonts w:ascii="Garamond" w:hAnsi="Garamond"/>
          <w:sz w:val="28"/>
          <w:szCs w:val="28"/>
        </w:rPr>
        <w:t xml:space="preserve"> potendo avvalersi a tal fine dell’istituto del silenzio ai sensi dell’art. 4, comma 1, lett. b) n. 3 dell’ordinanza n. 100/2020.</w:t>
      </w:r>
    </w:p>
    <w:p w14:paraId="6EE266A5" w14:textId="5A03FDFE" w:rsidR="00FF349D" w:rsidRDefault="00FF349D" w:rsidP="00F71564">
      <w:pPr>
        <w:spacing w:line="360" w:lineRule="auto"/>
        <w:ind w:left="284" w:right="282"/>
        <w:jc w:val="both"/>
        <w:rPr>
          <w:rFonts w:ascii="Garamond" w:hAnsi="Garamond"/>
          <w:sz w:val="28"/>
          <w:szCs w:val="28"/>
        </w:rPr>
      </w:pPr>
      <w:r>
        <w:rPr>
          <w:rFonts w:ascii="Garamond" w:hAnsi="Garamond"/>
          <w:sz w:val="28"/>
          <w:szCs w:val="28"/>
        </w:rPr>
        <w:t xml:space="preserve">Si rileva infine che le eventuali difformità non essenziali esulano dall’ambito applicativo del citato art. 4, </w:t>
      </w:r>
      <w:r w:rsidRPr="00FF349D">
        <w:rPr>
          <w:rFonts w:ascii="Garamond" w:hAnsi="Garamond"/>
          <w:sz w:val="28"/>
          <w:szCs w:val="28"/>
        </w:rPr>
        <w:t>comma 1, lett. b) n. 3</w:t>
      </w:r>
      <w:r>
        <w:rPr>
          <w:rFonts w:ascii="Garamond" w:hAnsi="Garamond"/>
          <w:sz w:val="28"/>
          <w:szCs w:val="28"/>
        </w:rPr>
        <w:t>,</w:t>
      </w:r>
      <w:r w:rsidRPr="00FF349D">
        <w:rPr>
          <w:rFonts w:ascii="Garamond" w:hAnsi="Garamond"/>
          <w:sz w:val="28"/>
          <w:szCs w:val="28"/>
        </w:rPr>
        <w:t xml:space="preserve"> </w:t>
      </w:r>
      <w:r>
        <w:rPr>
          <w:rFonts w:ascii="Garamond" w:hAnsi="Garamond"/>
          <w:sz w:val="28"/>
          <w:szCs w:val="28"/>
        </w:rPr>
        <w:t>seguendo invece la disciplina recata dall’art. 1 sexies del D.L. 29 maggio 2018 n. 55.</w:t>
      </w:r>
    </w:p>
    <w:p w14:paraId="758D4249" w14:textId="77777777" w:rsidR="00FB537A" w:rsidRDefault="00FB537A" w:rsidP="00FB537A">
      <w:pPr>
        <w:spacing w:line="360" w:lineRule="auto"/>
        <w:ind w:left="284" w:right="282"/>
        <w:jc w:val="both"/>
        <w:rPr>
          <w:rFonts w:ascii="Garamond" w:hAnsi="Garamond"/>
          <w:sz w:val="28"/>
          <w:szCs w:val="28"/>
        </w:rPr>
      </w:pPr>
    </w:p>
    <w:p w14:paraId="5BF0CB6F" w14:textId="79FC6ED2" w:rsidR="00FB537A" w:rsidRDefault="00FB537A" w:rsidP="00FB537A">
      <w:pPr>
        <w:spacing w:line="276" w:lineRule="auto"/>
        <w:ind w:left="284" w:right="282"/>
        <w:jc w:val="both"/>
        <w:rPr>
          <w:rFonts w:ascii="Garamond" w:hAnsi="Garamond"/>
          <w:sz w:val="28"/>
          <w:szCs w:val="28"/>
        </w:rPr>
      </w:pPr>
      <w:r>
        <w:rPr>
          <w:rFonts w:ascii="Garamond" w:hAnsi="Garamond"/>
          <w:sz w:val="28"/>
          <w:szCs w:val="28"/>
        </w:rPr>
        <w:t xml:space="preserve">L’Esperto Giuridico </w:t>
      </w:r>
    </w:p>
    <w:p w14:paraId="0B886EB9" w14:textId="6EC35465" w:rsidR="00FB537A" w:rsidRDefault="00FB537A" w:rsidP="00FB537A">
      <w:pPr>
        <w:spacing w:line="276" w:lineRule="auto"/>
        <w:ind w:left="284" w:right="282"/>
        <w:jc w:val="both"/>
        <w:rPr>
          <w:rFonts w:ascii="Garamond" w:hAnsi="Garamond"/>
          <w:sz w:val="28"/>
          <w:szCs w:val="28"/>
        </w:rPr>
      </w:pPr>
      <w:r>
        <w:rPr>
          <w:rFonts w:ascii="Garamond" w:hAnsi="Garamond"/>
          <w:sz w:val="28"/>
          <w:szCs w:val="28"/>
        </w:rPr>
        <w:t>Alessandro Jacoangeli</w:t>
      </w:r>
    </w:p>
    <w:p w14:paraId="531671A3" w14:textId="4E79D467" w:rsidR="00CF2A46" w:rsidRDefault="00FB537A" w:rsidP="00FB537A">
      <w:pPr>
        <w:spacing w:line="276" w:lineRule="auto"/>
        <w:ind w:left="284" w:right="282"/>
        <w:jc w:val="right"/>
        <w:rPr>
          <w:rFonts w:ascii="Garamond" w:hAnsi="Garamond"/>
          <w:sz w:val="28"/>
          <w:szCs w:val="28"/>
        </w:rPr>
      </w:pPr>
      <w:r>
        <w:rPr>
          <w:rFonts w:ascii="Garamond" w:hAnsi="Garamond"/>
          <w:sz w:val="28"/>
          <w:szCs w:val="28"/>
        </w:rPr>
        <w:t>Il Consigliere</w:t>
      </w:r>
      <w:r w:rsidR="00CF2A46">
        <w:rPr>
          <w:rFonts w:ascii="Garamond" w:hAnsi="Garamond"/>
          <w:sz w:val="28"/>
          <w:szCs w:val="28"/>
        </w:rPr>
        <w:t xml:space="preserve"> Giuridico </w:t>
      </w:r>
    </w:p>
    <w:p w14:paraId="32D653DA" w14:textId="69E070DC" w:rsidR="00FB537A" w:rsidRDefault="00FB537A" w:rsidP="00FB537A">
      <w:pPr>
        <w:spacing w:line="276" w:lineRule="auto"/>
        <w:ind w:left="284" w:right="282"/>
        <w:jc w:val="right"/>
        <w:rPr>
          <w:rFonts w:ascii="Garamond" w:hAnsi="Garamond"/>
          <w:sz w:val="28"/>
          <w:szCs w:val="28"/>
        </w:rPr>
      </w:pPr>
      <w:r>
        <w:rPr>
          <w:rFonts w:ascii="Garamond" w:hAnsi="Garamond"/>
          <w:sz w:val="28"/>
          <w:szCs w:val="28"/>
        </w:rPr>
        <w:t>Pierluigi Mantini</w:t>
      </w:r>
    </w:p>
    <w:p w14:paraId="4947ECE5" w14:textId="77777777" w:rsidR="00FB4760" w:rsidRDefault="00FB4760" w:rsidP="00F71564">
      <w:pPr>
        <w:spacing w:line="360" w:lineRule="auto"/>
        <w:ind w:left="284" w:right="282"/>
        <w:jc w:val="both"/>
        <w:rPr>
          <w:rFonts w:ascii="Garamond" w:hAnsi="Garamond"/>
          <w:sz w:val="28"/>
          <w:szCs w:val="28"/>
        </w:rPr>
      </w:pPr>
    </w:p>
    <w:p w14:paraId="5C4C5710" w14:textId="77777777" w:rsidR="007D722C" w:rsidRPr="009F4D89" w:rsidRDefault="007D722C" w:rsidP="00F71564">
      <w:pPr>
        <w:spacing w:line="360" w:lineRule="auto"/>
        <w:ind w:left="284" w:right="282"/>
        <w:jc w:val="both"/>
        <w:rPr>
          <w:rFonts w:ascii="Garamond" w:hAnsi="Garamond"/>
          <w:sz w:val="28"/>
          <w:szCs w:val="28"/>
        </w:rPr>
      </w:pPr>
    </w:p>
    <w:sectPr w:rsidR="007D722C" w:rsidRPr="009F4D8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0D908" w14:textId="77777777" w:rsidR="00D3542E" w:rsidRDefault="00D3542E" w:rsidP="00D15274">
      <w:pPr>
        <w:spacing w:after="0" w:line="240" w:lineRule="auto"/>
      </w:pPr>
      <w:r>
        <w:separator/>
      </w:r>
    </w:p>
  </w:endnote>
  <w:endnote w:type="continuationSeparator" w:id="0">
    <w:p w14:paraId="7ED8BA02" w14:textId="77777777" w:rsidR="00D3542E" w:rsidRDefault="00D3542E" w:rsidP="00D1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7C64" w14:textId="77777777" w:rsidR="00A45414" w:rsidRDefault="00A454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74E9" w14:textId="1B312B28" w:rsidR="00CB59F2" w:rsidRPr="00CB59F2" w:rsidRDefault="00CB59F2" w:rsidP="00D15274">
    <w:pPr>
      <w:pStyle w:val="Pidipagina"/>
      <w:jc w:val="center"/>
      <w:rPr>
        <w:rFonts w:cstheme="minorHAnsi"/>
        <w:b/>
        <w:bCs/>
        <w:color w:val="AEAAAA" w:themeColor="background2" w:themeShade="BF"/>
        <w:sz w:val="20"/>
        <w:szCs w:val="20"/>
      </w:rPr>
    </w:pPr>
    <w:r w:rsidRPr="00CB59F2">
      <w:rPr>
        <w:rFonts w:cstheme="minorHAnsi"/>
        <w:b/>
        <w:bCs/>
        <w:color w:val="AEAAAA" w:themeColor="background2" w:themeShade="BF"/>
        <w:sz w:val="20"/>
        <w:szCs w:val="20"/>
      </w:rPr>
      <w:t>____________________________________________________________________________</w:t>
    </w:r>
  </w:p>
  <w:p w14:paraId="26E8C6CE" w14:textId="762AA794" w:rsidR="00D15274" w:rsidRPr="00D07BE6" w:rsidRDefault="00D15274" w:rsidP="00D15274">
    <w:pPr>
      <w:pStyle w:val="Pidipagina"/>
      <w:jc w:val="center"/>
      <w:rPr>
        <w:rFonts w:cstheme="minorHAnsi"/>
        <w:b/>
        <w:bCs/>
        <w:sz w:val="18"/>
        <w:szCs w:val="18"/>
      </w:rPr>
    </w:pPr>
    <w:r w:rsidRPr="00D07BE6">
      <w:rPr>
        <w:rFonts w:cstheme="minorHAnsi"/>
        <w:b/>
        <w:bCs/>
        <w:sz w:val="18"/>
        <w:szCs w:val="18"/>
      </w:rPr>
      <w:t>Sede istituzionale</w:t>
    </w:r>
    <w:r w:rsidRPr="00D07BE6">
      <w:rPr>
        <w:rFonts w:cstheme="minorHAnsi"/>
        <w:sz w:val="18"/>
        <w:szCs w:val="18"/>
      </w:rPr>
      <w:t xml:space="preserve"> Palazzo </w:t>
    </w:r>
    <w:r w:rsidR="00D07BE6" w:rsidRPr="00D07BE6">
      <w:rPr>
        <w:rFonts w:cstheme="minorHAnsi"/>
        <w:sz w:val="18"/>
        <w:szCs w:val="18"/>
      </w:rPr>
      <w:t>V</w:t>
    </w:r>
    <w:r w:rsidRPr="00D07BE6">
      <w:rPr>
        <w:rFonts w:cstheme="minorHAnsi"/>
        <w:sz w:val="18"/>
        <w:szCs w:val="18"/>
      </w:rPr>
      <w:t xml:space="preserve">alentini, via IV Novembre, 119/a </w:t>
    </w:r>
    <w:r w:rsidR="00F80FB7" w:rsidRPr="00D07BE6">
      <w:rPr>
        <w:rFonts w:cstheme="minorHAnsi"/>
        <w:sz w:val="18"/>
        <w:szCs w:val="18"/>
      </w:rPr>
      <w:t>-</w:t>
    </w:r>
    <w:r w:rsidRPr="00D07BE6">
      <w:rPr>
        <w:rFonts w:cstheme="minorHAnsi"/>
        <w:sz w:val="18"/>
        <w:szCs w:val="18"/>
      </w:rPr>
      <w:t xml:space="preserve"> 00187 Roma tel. </w:t>
    </w:r>
    <w:r w:rsidRPr="00D07BE6">
      <w:rPr>
        <w:rFonts w:cstheme="minorHAnsi"/>
        <w:b/>
        <w:bCs/>
        <w:sz w:val="18"/>
        <w:szCs w:val="18"/>
      </w:rPr>
      <w:t>06 67662783</w:t>
    </w:r>
  </w:p>
  <w:p w14:paraId="33C6893D" w14:textId="27ADB8A5" w:rsidR="00D15274" w:rsidRPr="00D07BE6" w:rsidRDefault="00D15274" w:rsidP="00D15274">
    <w:pPr>
      <w:pStyle w:val="Pidipagina"/>
      <w:jc w:val="center"/>
      <w:rPr>
        <w:rFonts w:cstheme="minorHAnsi"/>
        <w:sz w:val="18"/>
        <w:szCs w:val="18"/>
      </w:rPr>
    </w:pPr>
    <w:r w:rsidRPr="00D07BE6">
      <w:rPr>
        <w:rFonts w:cstheme="minorHAnsi"/>
        <w:b/>
        <w:bCs/>
        <w:sz w:val="18"/>
        <w:szCs w:val="18"/>
      </w:rPr>
      <w:t>Sede operativa Roma</w:t>
    </w:r>
    <w:r w:rsidRPr="00D07BE6">
      <w:rPr>
        <w:rFonts w:cstheme="minorHAnsi"/>
        <w:sz w:val="18"/>
        <w:szCs w:val="18"/>
      </w:rPr>
      <w:t xml:space="preserve"> Via della Ferratella in Laterano, 51 </w:t>
    </w:r>
    <w:r w:rsidR="00F80FB7" w:rsidRPr="00D07BE6">
      <w:rPr>
        <w:rFonts w:cstheme="minorHAnsi"/>
        <w:sz w:val="18"/>
        <w:szCs w:val="18"/>
      </w:rPr>
      <w:t>-</w:t>
    </w:r>
    <w:r w:rsidRPr="00D07BE6">
      <w:rPr>
        <w:rFonts w:cstheme="minorHAnsi"/>
        <w:sz w:val="18"/>
        <w:szCs w:val="18"/>
      </w:rPr>
      <w:t xml:space="preserve"> 00184 Roma tel. </w:t>
    </w:r>
    <w:r w:rsidRPr="00D07BE6">
      <w:rPr>
        <w:rFonts w:cstheme="minorHAnsi"/>
        <w:b/>
        <w:bCs/>
        <w:sz w:val="18"/>
        <w:szCs w:val="18"/>
      </w:rPr>
      <w:t>06 67795118</w:t>
    </w:r>
  </w:p>
  <w:p w14:paraId="73677CAE" w14:textId="3A203D81" w:rsidR="00D15274" w:rsidRPr="00D07BE6" w:rsidRDefault="00D15274" w:rsidP="00D15274">
    <w:pPr>
      <w:pStyle w:val="Pidipagina"/>
      <w:jc w:val="center"/>
      <w:rPr>
        <w:rFonts w:cstheme="minorHAnsi"/>
        <w:sz w:val="18"/>
        <w:szCs w:val="18"/>
      </w:rPr>
    </w:pPr>
    <w:r w:rsidRPr="00D07BE6">
      <w:rPr>
        <w:rFonts w:cstheme="minorHAnsi"/>
        <w:b/>
        <w:bCs/>
        <w:sz w:val="18"/>
        <w:szCs w:val="18"/>
      </w:rPr>
      <w:t>Sede operativa</w:t>
    </w:r>
    <w:r w:rsidRPr="00D07BE6">
      <w:rPr>
        <w:rFonts w:cstheme="minorHAnsi"/>
        <w:sz w:val="18"/>
        <w:szCs w:val="18"/>
      </w:rPr>
      <w:t xml:space="preserve"> </w:t>
    </w:r>
    <w:r w:rsidRPr="00D07BE6">
      <w:rPr>
        <w:rFonts w:cstheme="minorHAnsi"/>
        <w:b/>
        <w:bCs/>
        <w:sz w:val="18"/>
        <w:szCs w:val="18"/>
      </w:rPr>
      <w:t xml:space="preserve">Rieti </w:t>
    </w:r>
    <w:r w:rsidRPr="00D07BE6">
      <w:rPr>
        <w:rFonts w:cstheme="minorHAnsi"/>
        <w:sz w:val="18"/>
        <w:szCs w:val="18"/>
      </w:rPr>
      <w:t xml:space="preserve">Via Giuseppe Pitoni, 2 </w:t>
    </w:r>
    <w:r w:rsidR="00F80FB7" w:rsidRPr="00D07BE6">
      <w:rPr>
        <w:rFonts w:cstheme="minorHAnsi"/>
        <w:sz w:val="18"/>
        <w:szCs w:val="18"/>
      </w:rPr>
      <w:t>-</w:t>
    </w:r>
    <w:r w:rsidRPr="00D07BE6">
      <w:rPr>
        <w:rFonts w:cstheme="minorHAnsi"/>
        <w:sz w:val="18"/>
        <w:szCs w:val="18"/>
      </w:rPr>
      <w:t xml:space="preserve"> 02100 Rieti tel. </w:t>
    </w:r>
    <w:r w:rsidRPr="00D07BE6">
      <w:rPr>
        <w:rFonts w:cstheme="minorHAnsi"/>
        <w:b/>
        <w:bCs/>
        <w:sz w:val="18"/>
        <w:szCs w:val="18"/>
      </w:rPr>
      <w:t>0746 1741925</w:t>
    </w:r>
  </w:p>
  <w:p w14:paraId="70EE85A5" w14:textId="2E8FB6E0" w:rsidR="00D15274" w:rsidRPr="00D07BE6" w:rsidRDefault="00D3542E" w:rsidP="00D15274">
    <w:pPr>
      <w:pStyle w:val="Pidipagina"/>
      <w:jc w:val="center"/>
      <w:rPr>
        <w:rFonts w:cstheme="minorHAnsi"/>
        <w:sz w:val="18"/>
        <w:szCs w:val="18"/>
      </w:rPr>
    </w:pPr>
    <w:hyperlink r:id="rId1" w:history="1">
      <w:r w:rsidR="00D15274" w:rsidRPr="00D07BE6">
        <w:rPr>
          <w:rStyle w:val="Collegamentoipertestuale"/>
          <w:rFonts w:cstheme="minorHAnsi"/>
          <w:color w:val="auto"/>
          <w:sz w:val="18"/>
          <w:szCs w:val="18"/>
          <w:u w:val="none"/>
        </w:rPr>
        <w:t>comm.ricostruzionesisma2016@pec.governo.it</w:t>
      </w:r>
    </w:hyperlink>
    <w:r w:rsidR="00D15274" w:rsidRPr="00D07BE6">
      <w:rPr>
        <w:rFonts w:cstheme="minorHAnsi"/>
        <w:sz w:val="18"/>
        <w:szCs w:val="18"/>
      </w:rPr>
      <w:t xml:space="preserve"> </w:t>
    </w:r>
    <w:r w:rsidR="00F80FB7" w:rsidRPr="00D07BE6">
      <w:rPr>
        <w:rFonts w:cstheme="minorHAnsi"/>
        <w:sz w:val="18"/>
        <w:szCs w:val="18"/>
      </w:rPr>
      <w:t>-</w:t>
    </w:r>
    <w:r w:rsidR="00D15274" w:rsidRPr="00D07BE6">
      <w:rPr>
        <w:rFonts w:cstheme="minorHAnsi"/>
        <w:sz w:val="18"/>
        <w:szCs w:val="18"/>
      </w:rPr>
      <w:t xml:space="preserve"> commissario.sisma2016@governo.it</w:t>
    </w:r>
  </w:p>
  <w:p w14:paraId="07722ADD" w14:textId="77777777" w:rsidR="00D15274" w:rsidRPr="00D15274" w:rsidRDefault="00D15274">
    <w:pPr>
      <w:pStyle w:val="Pidipagina"/>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5865" w14:textId="77777777" w:rsidR="00A45414" w:rsidRDefault="00A454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9330" w14:textId="77777777" w:rsidR="00D3542E" w:rsidRDefault="00D3542E" w:rsidP="00D15274">
      <w:pPr>
        <w:spacing w:after="0" w:line="240" w:lineRule="auto"/>
      </w:pPr>
      <w:r>
        <w:separator/>
      </w:r>
    </w:p>
  </w:footnote>
  <w:footnote w:type="continuationSeparator" w:id="0">
    <w:p w14:paraId="4AF22C15" w14:textId="77777777" w:rsidR="00D3542E" w:rsidRDefault="00D3542E" w:rsidP="00D1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5A926" w14:textId="77777777" w:rsidR="00A45414" w:rsidRDefault="00A454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360C" w14:textId="2F33CCCD" w:rsidR="00835F3C" w:rsidRPr="00835F3C" w:rsidRDefault="00BE3512">
    <w:pPr>
      <w:pStyle w:val="Intestazione"/>
    </w:pPr>
    <w:r>
      <w:rPr>
        <w:noProof/>
      </w:rPr>
      <w:drawing>
        <wp:inline distT="0" distB="0" distL="0" distR="0" wp14:anchorId="0BD3AADA" wp14:editId="24A929E8">
          <wp:extent cx="4119843" cy="1133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3704" cy="1164801"/>
                  </a:xfrm>
                  <a:prstGeom prst="rect">
                    <a:avLst/>
                  </a:prstGeom>
                  <a:noFill/>
                  <a:ln>
                    <a:noFill/>
                  </a:ln>
                </pic:spPr>
              </pic:pic>
            </a:graphicData>
          </a:graphic>
        </wp:inline>
      </w:drawing>
    </w:r>
  </w:p>
  <w:p w14:paraId="0E55EB88" w14:textId="33A64A11" w:rsidR="00BE3512" w:rsidRPr="00835F3C" w:rsidRDefault="00835F3C" w:rsidP="00A45414">
    <w:pPr>
      <w:pStyle w:val="Intestazione"/>
      <w:spacing w:line="276" w:lineRule="auto"/>
      <w:rPr>
        <w:rFonts w:ascii="Times New Roman" w:hAnsi="Times New Roman" w:cs="Times New Roman"/>
        <w:sz w:val="18"/>
        <w:szCs w:val="18"/>
      </w:rPr>
    </w:pPr>
    <w:bookmarkStart w:id="4" w:name="_Hlk52375857"/>
    <w:r w:rsidRPr="00835F3C">
      <w:rPr>
        <w:rFonts w:ascii="Times New Roman" w:hAnsi="Times New Roman" w:cs="Times New Roman"/>
        <w:sz w:val="18"/>
        <w:szCs w:val="18"/>
      </w:rPr>
      <w:t xml:space="preserve">            </w:t>
    </w:r>
    <w:r w:rsidR="00A45414">
      <w:rPr>
        <w:rFonts w:ascii="Times New Roman" w:hAnsi="Times New Roman" w:cs="Times New Roman"/>
        <w:sz w:val="18"/>
        <w:szCs w:val="18"/>
      </w:rPr>
      <w:t xml:space="preserve">      </w:t>
    </w:r>
    <w:r w:rsidRPr="00835F3C">
      <w:rPr>
        <w:rFonts w:ascii="Times New Roman" w:hAnsi="Times New Roman" w:cs="Times New Roman"/>
        <w:sz w:val="18"/>
        <w:szCs w:val="18"/>
      </w:rPr>
      <w:t xml:space="preserve"> </w:t>
    </w:r>
    <w:r w:rsidR="00A45414">
      <w:rPr>
        <w:rFonts w:ascii="Times New Roman" w:hAnsi="Times New Roman" w:cs="Times New Roman"/>
        <w:sz w:val="18"/>
        <w:szCs w:val="18"/>
      </w:rPr>
      <w:t>Il</w:t>
    </w:r>
    <w:r w:rsidR="00BE3512" w:rsidRPr="00835F3C">
      <w:rPr>
        <w:rFonts w:ascii="Times New Roman" w:hAnsi="Times New Roman" w:cs="Times New Roman"/>
        <w:sz w:val="18"/>
        <w:szCs w:val="18"/>
      </w:rPr>
      <w:t xml:space="preserve"> Commissario Straordinario del Governo ai fini della ricostruzione</w:t>
    </w:r>
  </w:p>
  <w:p w14:paraId="2E8A9B1C" w14:textId="183D2454" w:rsidR="00BE3512" w:rsidRPr="00835F3C" w:rsidRDefault="00BE3512" w:rsidP="00A45414">
    <w:pPr>
      <w:pStyle w:val="Intestazione"/>
      <w:spacing w:line="276" w:lineRule="auto"/>
      <w:rPr>
        <w:rFonts w:ascii="Arial" w:hAnsi="Arial" w:cs="Arial"/>
        <w:sz w:val="18"/>
        <w:szCs w:val="18"/>
      </w:rPr>
    </w:pPr>
    <w:r w:rsidRPr="00835F3C">
      <w:rPr>
        <w:rFonts w:ascii="Times New Roman" w:hAnsi="Times New Roman" w:cs="Times New Roman"/>
        <w:sz w:val="18"/>
        <w:szCs w:val="18"/>
      </w:rPr>
      <w:t xml:space="preserve">       </w:t>
    </w:r>
    <w:r w:rsidR="00A45414">
      <w:rPr>
        <w:rFonts w:ascii="Times New Roman" w:hAnsi="Times New Roman" w:cs="Times New Roman"/>
        <w:sz w:val="18"/>
        <w:szCs w:val="18"/>
      </w:rPr>
      <w:t xml:space="preserve">nei territori interessati dagli eventi sismici verificatesi a far data dal 24 </w:t>
    </w:r>
    <w:proofErr w:type="gramStart"/>
    <w:r w:rsidR="00A45414">
      <w:rPr>
        <w:rFonts w:ascii="Times New Roman" w:hAnsi="Times New Roman" w:cs="Times New Roman"/>
        <w:sz w:val="18"/>
        <w:szCs w:val="18"/>
      </w:rPr>
      <w:t>Agosto</w:t>
    </w:r>
    <w:proofErr w:type="gramEnd"/>
    <w:r w:rsidR="00A45414">
      <w:rPr>
        <w:rFonts w:ascii="Times New Roman" w:hAnsi="Times New Roman" w:cs="Times New Roman"/>
        <w:sz w:val="18"/>
        <w:szCs w:val="18"/>
      </w:rPr>
      <w:t xml:space="preserve"> 2016</w:t>
    </w:r>
  </w:p>
  <w:bookmarkEnd w:id="4"/>
  <w:p w14:paraId="58E33FC7" w14:textId="36019169" w:rsidR="00BE3512" w:rsidRPr="00D06C84" w:rsidRDefault="00835F3C">
    <w:pPr>
      <w:pStyle w:val="Intestazione"/>
      <w:rPr>
        <w:rFonts w:asciiTheme="majorHAnsi" w:hAnsiTheme="majorHAnsi" w:cs="Times New Roman"/>
        <w:color w:val="AEAAAA" w:themeColor="background2" w:themeShade="BF"/>
        <w:sz w:val="16"/>
        <w:szCs w:val="16"/>
      </w:rPr>
    </w:pPr>
    <w:r>
      <w:rPr>
        <w:rFonts w:asciiTheme="majorHAnsi" w:hAnsiTheme="majorHAnsi" w:cs="Times New Roman"/>
        <w:color w:val="AEAAAA" w:themeColor="background2" w:themeShade="B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F59B" w14:textId="77777777" w:rsidR="00A45414" w:rsidRDefault="00A454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74"/>
    <w:rsid w:val="00002A25"/>
    <w:rsid w:val="00042527"/>
    <w:rsid w:val="000B7BC2"/>
    <w:rsid w:val="000C6FF6"/>
    <w:rsid w:val="000D6093"/>
    <w:rsid w:val="00144528"/>
    <w:rsid w:val="00164172"/>
    <w:rsid w:val="00195E22"/>
    <w:rsid w:val="001A189D"/>
    <w:rsid w:val="001C0993"/>
    <w:rsid w:val="001F4C44"/>
    <w:rsid w:val="002067AB"/>
    <w:rsid w:val="002115E3"/>
    <w:rsid w:val="00213FBA"/>
    <w:rsid w:val="00226047"/>
    <w:rsid w:val="00230499"/>
    <w:rsid w:val="0026282B"/>
    <w:rsid w:val="00265067"/>
    <w:rsid w:val="00276AA2"/>
    <w:rsid w:val="002801C3"/>
    <w:rsid w:val="002A2878"/>
    <w:rsid w:val="002B5144"/>
    <w:rsid w:val="003076FE"/>
    <w:rsid w:val="00384898"/>
    <w:rsid w:val="003867E1"/>
    <w:rsid w:val="003911AF"/>
    <w:rsid w:val="003A60D0"/>
    <w:rsid w:val="003B01ED"/>
    <w:rsid w:val="003D076A"/>
    <w:rsid w:val="003F4B33"/>
    <w:rsid w:val="003F5EFD"/>
    <w:rsid w:val="00423EBF"/>
    <w:rsid w:val="0044096A"/>
    <w:rsid w:val="00460FD6"/>
    <w:rsid w:val="0048592F"/>
    <w:rsid w:val="004E68E5"/>
    <w:rsid w:val="00501AAA"/>
    <w:rsid w:val="00503370"/>
    <w:rsid w:val="00511AF6"/>
    <w:rsid w:val="00521BD0"/>
    <w:rsid w:val="005359AD"/>
    <w:rsid w:val="005B0362"/>
    <w:rsid w:val="005B52DC"/>
    <w:rsid w:val="005D0C58"/>
    <w:rsid w:val="005D43B8"/>
    <w:rsid w:val="00613F3C"/>
    <w:rsid w:val="00650F30"/>
    <w:rsid w:val="0068071F"/>
    <w:rsid w:val="00682D5C"/>
    <w:rsid w:val="006D02BF"/>
    <w:rsid w:val="006D08D3"/>
    <w:rsid w:val="00716F24"/>
    <w:rsid w:val="007B78C4"/>
    <w:rsid w:val="007D61AC"/>
    <w:rsid w:val="007D722C"/>
    <w:rsid w:val="007F089E"/>
    <w:rsid w:val="0080387C"/>
    <w:rsid w:val="00820AB9"/>
    <w:rsid w:val="008334B9"/>
    <w:rsid w:val="00835F3C"/>
    <w:rsid w:val="008E0160"/>
    <w:rsid w:val="0098046F"/>
    <w:rsid w:val="009D43EF"/>
    <w:rsid w:val="009E3539"/>
    <w:rsid w:val="009F4423"/>
    <w:rsid w:val="009F4D89"/>
    <w:rsid w:val="00A1099F"/>
    <w:rsid w:val="00A30915"/>
    <w:rsid w:val="00A34504"/>
    <w:rsid w:val="00A3495B"/>
    <w:rsid w:val="00A41B65"/>
    <w:rsid w:val="00A45414"/>
    <w:rsid w:val="00AA2721"/>
    <w:rsid w:val="00B163E6"/>
    <w:rsid w:val="00B32BB7"/>
    <w:rsid w:val="00B50048"/>
    <w:rsid w:val="00B65971"/>
    <w:rsid w:val="00BD17A9"/>
    <w:rsid w:val="00BE3512"/>
    <w:rsid w:val="00BF353E"/>
    <w:rsid w:val="00C10BBC"/>
    <w:rsid w:val="00C2551B"/>
    <w:rsid w:val="00C312A5"/>
    <w:rsid w:val="00C70686"/>
    <w:rsid w:val="00C75463"/>
    <w:rsid w:val="00C75EE6"/>
    <w:rsid w:val="00C830AB"/>
    <w:rsid w:val="00C965C6"/>
    <w:rsid w:val="00CB59F2"/>
    <w:rsid w:val="00CF2A46"/>
    <w:rsid w:val="00D06C84"/>
    <w:rsid w:val="00D07BE6"/>
    <w:rsid w:val="00D15274"/>
    <w:rsid w:val="00D3542E"/>
    <w:rsid w:val="00D46532"/>
    <w:rsid w:val="00D559AE"/>
    <w:rsid w:val="00D76E3C"/>
    <w:rsid w:val="00D92445"/>
    <w:rsid w:val="00D92DA7"/>
    <w:rsid w:val="00DC1877"/>
    <w:rsid w:val="00DE0502"/>
    <w:rsid w:val="00DF1E92"/>
    <w:rsid w:val="00DF22A9"/>
    <w:rsid w:val="00DF7BA7"/>
    <w:rsid w:val="00E47FDF"/>
    <w:rsid w:val="00E62F18"/>
    <w:rsid w:val="00E71D93"/>
    <w:rsid w:val="00F0373E"/>
    <w:rsid w:val="00F12956"/>
    <w:rsid w:val="00F14667"/>
    <w:rsid w:val="00F71564"/>
    <w:rsid w:val="00F7251A"/>
    <w:rsid w:val="00F76D22"/>
    <w:rsid w:val="00F80FB7"/>
    <w:rsid w:val="00F928B6"/>
    <w:rsid w:val="00FB4760"/>
    <w:rsid w:val="00FB537A"/>
    <w:rsid w:val="00FC3018"/>
    <w:rsid w:val="00FF3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F1A6"/>
  <w15:chartTrackingRefBased/>
  <w15:docId w15:val="{7C569970-7FDB-449D-8073-D7657EC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52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274"/>
  </w:style>
  <w:style w:type="paragraph" w:styleId="Pidipagina">
    <w:name w:val="footer"/>
    <w:basedOn w:val="Normale"/>
    <w:link w:val="PidipaginaCarattere"/>
    <w:uiPriority w:val="99"/>
    <w:unhideWhenUsed/>
    <w:rsid w:val="00D152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274"/>
  </w:style>
  <w:style w:type="character" w:styleId="Collegamentoipertestuale">
    <w:name w:val="Hyperlink"/>
    <w:basedOn w:val="Carpredefinitoparagrafo"/>
    <w:uiPriority w:val="99"/>
    <w:unhideWhenUsed/>
    <w:rsid w:val="00D15274"/>
    <w:rPr>
      <w:color w:val="0563C1" w:themeColor="hyperlink"/>
      <w:u w:val="single"/>
    </w:rPr>
  </w:style>
  <w:style w:type="character" w:styleId="Menzionenonrisolta">
    <w:name w:val="Unresolved Mention"/>
    <w:basedOn w:val="Carpredefinitoparagrafo"/>
    <w:uiPriority w:val="99"/>
    <w:semiHidden/>
    <w:unhideWhenUsed/>
    <w:rsid w:val="00D15274"/>
    <w:rPr>
      <w:color w:val="605E5C"/>
      <w:shd w:val="clear" w:color="auto" w:fill="E1DFDD"/>
    </w:rPr>
  </w:style>
  <w:style w:type="character" w:styleId="Rimandocommento">
    <w:name w:val="annotation reference"/>
    <w:basedOn w:val="Carpredefinitoparagrafo"/>
    <w:uiPriority w:val="99"/>
    <w:semiHidden/>
    <w:unhideWhenUsed/>
    <w:rsid w:val="00423EBF"/>
    <w:rPr>
      <w:sz w:val="16"/>
      <w:szCs w:val="16"/>
    </w:rPr>
  </w:style>
  <w:style w:type="paragraph" w:styleId="Testocommento">
    <w:name w:val="annotation text"/>
    <w:basedOn w:val="Normale"/>
    <w:link w:val="TestocommentoCarattere"/>
    <w:uiPriority w:val="99"/>
    <w:semiHidden/>
    <w:unhideWhenUsed/>
    <w:rsid w:val="00423E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3EBF"/>
    <w:rPr>
      <w:sz w:val="20"/>
      <w:szCs w:val="20"/>
    </w:rPr>
  </w:style>
  <w:style w:type="paragraph" w:styleId="Soggettocommento">
    <w:name w:val="annotation subject"/>
    <w:basedOn w:val="Testocommento"/>
    <w:next w:val="Testocommento"/>
    <w:link w:val="SoggettocommentoCarattere"/>
    <w:uiPriority w:val="99"/>
    <w:semiHidden/>
    <w:unhideWhenUsed/>
    <w:rsid w:val="00423EBF"/>
    <w:rPr>
      <w:b/>
      <w:bCs/>
    </w:rPr>
  </w:style>
  <w:style w:type="character" w:customStyle="1" w:styleId="SoggettocommentoCarattere">
    <w:name w:val="Soggetto commento Carattere"/>
    <w:basedOn w:val="TestocommentoCarattere"/>
    <w:link w:val="Soggettocommento"/>
    <w:uiPriority w:val="99"/>
    <w:semiHidden/>
    <w:rsid w:val="00423EBF"/>
    <w:rPr>
      <w:b/>
      <w:bCs/>
      <w:sz w:val="20"/>
      <w:szCs w:val="20"/>
    </w:rPr>
  </w:style>
  <w:style w:type="paragraph" w:styleId="Testofumetto">
    <w:name w:val="Balloon Text"/>
    <w:basedOn w:val="Normale"/>
    <w:link w:val="TestofumettoCarattere"/>
    <w:uiPriority w:val="99"/>
    <w:semiHidden/>
    <w:unhideWhenUsed/>
    <w:rsid w:val="00423E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m.ricostruzionesisma2016@pec.gover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E382-4484-4E2E-A305-55885C58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1548</Words>
  <Characters>8829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Passalacqua</dc:creator>
  <cp:keywords/>
  <dc:description/>
  <cp:lastModifiedBy>mario sensini</cp:lastModifiedBy>
  <cp:revision>14</cp:revision>
  <dcterms:created xsi:type="dcterms:W3CDTF">2020-10-22T16:28:00Z</dcterms:created>
  <dcterms:modified xsi:type="dcterms:W3CDTF">2020-11-03T18:16:00Z</dcterms:modified>
</cp:coreProperties>
</file>